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footer4.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footer7.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oter3.xml" ContentType="application/vnd.openxmlformats-officedocument.wordprocessingml.footer+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9"/>
          <w:tab w:val="left" w:pos="3148" w:leader="none"/>
          <w:tab w:val="center" w:pos="4818" w:leader="none"/>
          <w:tab w:val="left" w:pos="6926" w:leader="none"/>
        </w:tabs>
        <w:spacing w:lineRule="auto" w:line="240"/>
        <w:ind w:hanging="0"/>
        <w:jc w:val="left"/>
        <w:rPr>
          <w:b/>
          <w:bCs/>
          <w:color w:val="000000"/>
          <w:sz w:val="24"/>
          <w:szCs w:val="24"/>
        </w:rPr>
      </w:pPr>
      <w:r>
        <w:rPr>
          <w:b/>
          <w:bCs/>
          <w:color w:val="000000"/>
          <w:sz w:val="24"/>
          <w:szCs w:val="24"/>
        </w:rPr>
      </w:r>
    </w:p>
    <w:p>
      <w:pPr>
        <w:pStyle w:val="Normal"/>
        <w:shd w:val="clear" w:color="auto" w:fill="FFFFFF"/>
        <w:tabs>
          <w:tab w:val="clear" w:pos="709"/>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BodyText3"/>
        <w:rPr>
          <w:bCs/>
          <w:color w:val="auto"/>
        </w:rPr>
      </w:pPr>
      <w:r>
        <w:rPr>
          <w:bCs/>
          <w:color w:val="auto"/>
        </w:rPr>
      </w:r>
    </w:p>
    <w:p>
      <w:pPr>
        <w:pStyle w:val="BodyText3"/>
        <w:rPr>
          <w:bCs/>
          <w:color w:val="auto"/>
        </w:rPr>
      </w:pPr>
      <w:r>
        <w:rPr>
          <w:bCs/>
          <w:color w:val="auto"/>
        </w:rPr>
        <w:t>г.</w:t>
      </w:r>
      <w:r>
        <w:rPr>
          <w:bCs/>
          <w:color w:val="auto"/>
          <w:lang w:val="ru-RU"/>
        </w:rPr>
        <w:t xml:space="preserve"> Новосибирск</w:t>
      </w:r>
      <w:r>
        <w:rPr>
          <w:bCs/>
          <w:color w:val="auto"/>
        </w:rPr>
        <w:tab/>
        <w:tab/>
        <w:tab/>
        <w:tab/>
        <w:tab/>
        <w:t xml:space="preserve">                        </w:t>
      </w:r>
      <w:r>
        <w:rPr>
          <w:bCs/>
          <w:color w:val="auto"/>
          <w:lang w:val="ru-RU"/>
        </w:rPr>
        <w:t xml:space="preserve">             </w:t>
      </w:r>
      <w:r>
        <w:rPr>
          <w:bCs/>
          <w:color w:val="auto"/>
        </w:rPr>
        <w:t>«___» _________ 20</w:t>
      </w:r>
      <w:r>
        <w:rPr>
          <w:bCs/>
          <w:color w:val="auto"/>
          <w:lang w:val="ru-RU"/>
        </w:rPr>
        <w:t>26</w:t>
      </w:r>
      <w:r>
        <w:rPr>
          <w:bCs/>
          <w:color w:val="auto"/>
        </w:rPr>
        <w:t xml:space="preserve"> г.</w:t>
      </w:r>
    </w:p>
    <w:p>
      <w:pPr>
        <w:pStyle w:val="Normal"/>
        <w:shd w:val="clear" w:color="auto" w:fill="FFFFFF"/>
        <w:tabs>
          <w:tab w:val="clear" w:pos="709"/>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 xml:space="preserve">Публичное </w:t>
      </w:r>
      <w:r>
        <w:rPr>
          <w:b/>
          <w:color w:val="auto"/>
        </w:rPr>
        <w:t xml:space="preserve">акционерное общество «Федеральная гидрогенерирующая компания </w:t>
      </w:r>
      <w:r>
        <w:rPr>
          <w:b/>
          <w:color w:val="auto"/>
          <w:lang w:val="ru-RU"/>
        </w:rPr>
        <w:t>–</w:t>
      </w:r>
      <w:r>
        <w:rPr>
          <w:b/>
          <w:color w:val="auto"/>
        </w:rPr>
        <w:t xml:space="preserve"> РусГидро» </w:t>
      </w:r>
      <w:r>
        <w:rPr>
          <w:color w:val="auto"/>
        </w:rPr>
        <w:t>(</w:t>
      </w:r>
      <w:r>
        <w:rPr>
          <w:color w:val="auto"/>
          <w:lang w:val="ru-RU"/>
        </w:rPr>
        <w:t>П</w:t>
      </w:r>
      <w:r>
        <w:rPr>
          <w:color w:val="auto"/>
        </w:rPr>
        <w:t xml:space="preserve">АО «РусГидро») (далее – «Заказчик»), в лице ______________ действующего </w:t>
      </w:r>
      <w:r>
        <w:rPr>
          <w:color w:val="auto"/>
          <w:lang w:val="ru-RU"/>
        </w:rPr>
        <w:br/>
      </w:r>
      <w:r>
        <w:rPr>
          <w:color w:val="auto"/>
        </w:rPr>
        <w:t xml:space="preserve">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lang w:val="ru-RU"/>
        </w:rPr>
        <w:br/>
      </w:r>
      <w:r>
        <w:rPr>
          <w:color w:val="auto"/>
        </w:rPr>
        <w:t>по результатам проведенной Заказчиком конкурентной процедуры по лоту №_________</w:t>
      </w:r>
      <w:r>
        <w:rPr>
          <w:bCs/>
          <w:color w:val="auto"/>
        </w:rPr>
        <w:t>,</w:t>
      </w:r>
      <w:r>
        <w:rPr/>
        <w:t xml:space="preserve"> </w:t>
      </w:r>
      <w:r>
        <w:rPr>
          <w:lang w:val="ru-RU"/>
        </w:rPr>
        <w:br/>
      </w:r>
      <w:r>
        <w:rPr>
          <w:color w:val="auto"/>
          <w:lang w:val="ru-RU"/>
        </w:rPr>
        <w:t>и</w:t>
      </w:r>
      <w:r>
        <w:rPr>
          <w:lang w:val="ru-RU"/>
        </w:rPr>
        <w:t xml:space="preserve"> </w:t>
      </w:r>
      <w:r>
        <w:rPr>
          <w:bCs/>
          <w:color w:val="auto"/>
        </w:rPr>
        <w:t>на основании Протокола от «___»__________ г</w:t>
      </w:r>
      <w:r>
        <w:rPr>
          <w:bCs/>
          <w:color w:val="auto"/>
          <w:lang w:val="ru-RU"/>
        </w:rPr>
        <w:t xml:space="preserve">. </w:t>
      </w:r>
      <w:r>
        <w:rPr>
          <w:bCs/>
          <w:color w:val="auto"/>
        </w:rPr>
        <w:t>№_______</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9"/>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 xml:space="preserve">Термины и определения, приведенные в настоящем разделе Договора,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 xml:space="preserve">«Акт КС-11» </w:t>
      </w:r>
      <w:r>
        <w:rPr>
          <w:lang w:eastAsia="en-US"/>
        </w:rPr>
        <w:t>– документ, оформляемый по унифицированной форме № КС-11 «Акт приемки законченного строительством объекта»</w:t>
      </w:r>
      <w:r>
        <w:rPr/>
        <w:t xml:space="preserve">, утвержденной постановлением </w:t>
      </w:r>
      <w:r>
        <w:rPr>
          <w:lang w:eastAsia="en-US"/>
        </w:rPr>
        <w:t>Госкомстата РФ от 30.10.1997 № 71а, подписываемой Сторонами по окончании всех Работ по Объекту, предусмотренных Договором.</w:t>
      </w:r>
    </w:p>
    <w:p>
      <w:pPr>
        <w:pStyle w:val="ListParagraph"/>
        <w:ind w:left="0" w:firstLine="708"/>
        <w:jc w:val="both"/>
        <w:rPr>
          <w:lang w:eastAsia="en-US"/>
        </w:rPr>
      </w:pPr>
      <w:r>
        <w:rPr>
          <w:b/>
          <w:lang w:eastAsia="en-US"/>
        </w:rPr>
        <w:t xml:space="preserve"> </w:t>
      </w: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9"/>
          <w:tab w:val="left" w:pos="567" w:leader="none"/>
          <w:tab w:val="left" w:pos="1134" w:leader="none"/>
        </w:tabs>
        <w:overflowPunct w:val="true"/>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bCs/>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 </w:t>
      </w: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 </w:t>
      </w: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«Национальный режим» </w:t>
      </w:r>
      <w:r>
        <w:rPr>
          <w:lang w:eastAsia="en-US"/>
        </w:rPr>
        <w:t>– 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 </w:t>
      </w: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 </w:t>
      </w: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b/>
          <w:lang w:eastAsia="en-US"/>
        </w:rPr>
      </w:pPr>
      <w:r>
        <w:rPr>
          <w:b/>
          <w:lang w:eastAsia="en-US"/>
        </w:rPr>
        <w:t xml:space="preserve"> </w:t>
      </w:r>
      <w:r>
        <w:rPr>
          <w:lang w:eastAsia="en-US"/>
        </w:rPr>
        <w:t xml:space="preserve">«Применимое право»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9"/>
          <w:tab w:val="left" w:pos="567" w:leader="none"/>
          <w:tab w:val="left" w:pos="1134" w:leader="none"/>
        </w:tabs>
        <w:overflowPunct w:val="tru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9"/>
          <w:tab w:val="left" w:pos="567" w:leader="none"/>
          <w:tab w:val="left" w:pos="1134" w:leader="none"/>
        </w:tabs>
        <w:overflowPunct w:val="tru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9"/>
          <w:tab w:val="left" w:pos="567" w:leader="none"/>
        </w:tabs>
        <w:overflowPunct w:val="true"/>
        <w:spacing w:before="0" w:after="0"/>
        <w:ind w:firstLine="708"/>
        <w:jc w:val="both"/>
        <w:textAlignment w:val="baseline"/>
        <w:rPr>
          <w:sz w:val="24"/>
          <w:szCs w:val="24"/>
          <w:lang w:eastAsia="ru-RU"/>
        </w:rPr>
      </w:pPr>
      <w:r>
        <w:rPr>
          <w:sz w:val="24"/>
          <w:szCs w:val="24"/>
          <w:lang w:val="ru-RU" w:eastAsia="en-US"/>
        </w:rPr>
        <w:t xml:space="preserve"> </w:t>
      </w: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в соответствии с условиями Договора,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9"/>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9"/>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9"/>
        </w:numPr>
        <w:shd w:val="clear" w:color="auto" w:fill="FFFFFF"/>
        <w:tabs>
          <w:tab w:val="clear" w:pos="709"/>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9"/>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соответствующий требованиям, изложенным </w:t>
        <w:br/>
        <w:t>в Техническом задании (Приложение № 1 к Договору).</w:t>
      </w:r>
    </w:p>
    <w:p>
      <w:pPr>
        <w:pStyle w:val="Heading3"/>
        <w:keepNext w:val="false"/>
        <w:widowControl w:val="false"/>
        <w:tabs>
          <w:tab w:val="clear" w:pos="709"/>
          <w:tab w:val="left" w:pos="567" w:leader="none"/>
        </w:tabs>
        <w:overflowPunct w:val="true"/>
        <w:spacing w:before="0" w:after="0"/>
        <w:ind w:firstLine="708"/>
        <w:jc w:val="both"/>
        <w:textAlignment w:val="baseline"/>
        <w:rPr>
          <w:rFonts w:eastAsia="Calibri" w:eastAsiaTheme="minorHAnsi"/>
          <w:b w:val="false"/>
          <w:bCs/>
          <w:sz w:val="24"/>
          <w:szCs w:val="24"/>
          <w:lang w:val="ru-RU" w:eastAsia="en-US"/>
        </w:rPr>
      </w:pPr>
      <w:r>
        <w:rPr>
          <w:sz w:val="24"/>
          <w:szCs w:val="24"/>
          <w:lang w:val="ru-RU" w:eastAsia="en-US"/>
        </w:rPr>
        <w:t>«Скрытые работы»</w:t>
      </w:r>
      <w:r>
        <w:rPr>
          <w:b w:val="false"/>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lang w:eastAsia="en-US"/>
        </w:rPr>
        <w:t>но в соответствии с технологией их проведени</w:t>
      </w:r>
      <w:r>
        <w:rPr>
          <w:rFonts w:eastAsia="Calibri" w:eastAsiaTheme="minorHAnsi"/>
          <w:b w:val="false"/>
          <w:bCs/>
          <w:sz w:val="24"/>
          <w:szCs w:val="24"/>
          <w:lang w:val="ru-RU" w:eastAsia="en-US"/>
        </w:rPr>
        <w:t>я</w:t>
      </w:r>
      <w:r>
        <w:rPr>
          <w:rFonts w:eastAsia="Calibri" w:eastAsiaTheme="minorHAnsi"/>
          <w:b w:val="false"/>
          <w:bCs/>
          <w:sz w:val="24"/>
          <w:szCs w:val="24"/>
          <w:lang w:eastAsia="en-US"/>
        </w:rPr>
        <w:t xml:space="preserve"> контроль за </w:t>
      </w:r>
      <w:r>
        <w:rPr>
          <w:rFonts w:eastAsia="Calibri" w:eastAsiaTheme="minorHAnsi"/>
          <w:b w:val="false"/>
          <w:bCs/>
          <w:sz w:val="24"/>
          <w:szCs w:val="24"/>
          <w:lang w:val="ru-RU" w:eastAsia="en-US"/>
        </w:rPr>
        <w:t xml:space="preserve">их </w:t>
      </w:r>
      <w:r>
        <w:rPr>
          <w:rFonts w:eastAsia="Calibri" w:eastAsiaTheme="minorHAnsi"/>
          <w:b w:val="false"/>
          <w:bCs/>
          <w:sz w:val="24"/>
          <w:szCs w:val="24"/>
          <w:lang w:eastAsia="en-US"/>
        </w:rPr>
        <w:t xml:space="preserve">осуществлением не может быть проведен </w:t>
      </w:r>
      <w:r>
        <w:rPr>
          <w:rFonts w:eastAsia="Calibri" w:eastAsiaTheme="minorHAnsi"/>
          <w:b w:val="false"/>
          <w:bCs/>
          <w:sz w:val="24"/>
          <w:szCs w:val="24"/>
          <w:lang w:val="ru-RU" w:eastAsia="en-US"/>
        </w:rPr>
        <w:t xml:space="preserve">Заказчиком </w:t>
      </w:r>
      <w:r>
        <w:rPr>
          <w:rFonts w:eastAsia="Calibri" w:eastAsiaTheme="minorHAnsi"/>
          <w:b w:val="false"/>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lang w:val="ru-RU" w:eastAsia="en-US"/>
        </w:rPr>
        <w:t>.</w:t>
      </w:r>
    </w:p>
    <w:p>
      <w:pPr>
        <w:pStyle w:val="Heading3"/>
        <w:keepNext w:val="false"/>
        <w:widowControl w:val="false"/>
        <w:tabs>
          <w:tab w:val="clear" w:pos="709"/>
          <w:tab w:val="left" w:pos="567" w:leader="none"/>
        </w:tabs>
        <w:overflowPunct w:val="true"/>
        <w:spacing w:before="0" w:after="0"/>
        <w:ind w:firstLine="708"/>
        <w:jc w:val="both"/>
        <w:textAlignment w:val="baseline"/>
        <w:rPr>
          <w:sz w:val="24"/>
          <w:szCs w:val="24"/>
          <w:lang w:eastAsia="en-US"/>
        </w:rPr>
      </w:pPr>
      <w:r>
        <w:rPr>
          <w:sz w:val="24"/>
          <w:szCs w:val="24"/>
          <w:lang w:eastAsia="en-US"/>
        </w:rPr>
        <w:t>«Субъект МСП» – субъект малого и среднего предпринимательства.</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w:t>
        <w:br/>
        <w:t>по адресу: г. Новосибирск, ул. Новоморская, 4.</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w:t>
        <w:br/>
        <w:t xml:space="preserve">и состав Работ по Договору, перечень необходимого Оборудования и требования Заказчика </w:t>
        <w:br/>
        <w:t>к выполнению Подрядчиком Работ по Договору в целом.</w:t>
      </w:r>
    </w:p>
    <w:p>
      <w:pPr>
        <w:pStyle w:val="Heading3"/>
        <w:keepNext w:val="false"/>
        <w:widowControl w:val="false"/>
        <w:tabs>
          <w:tab w:val="clear" w:pos="709"/>
          <w:tab w:val="left" w:pos="567" w:leader="none"/>
        </w:tabs>
        <w:overflowPunct w:val="true"/>
        <w:spacing w:before="0" w:after="0"/>
        <w:ind w:firstLine="680"/>
        <w:jc w:val="both"/>
        <w:textAlignment w:val="baseline"/>
        <w:rPr/>
      </w:pPr>
      <w:r>
        <w:rPr>
          <w:color w:val="000000"/>
          <w:sz w:val="24"/>
          <w:szCs w:val="24"/>
          <w:lang w:val="ru-RU" w:eastAsia="en-US"/>
        </w:rPr>
        <w:t xml:space="preserve">«Универсальный передаточный документ», «УПД» </w:t>
      </w:r>
      <w:r>
        <w:rPr>
          <w:b w:val="false"/>
          <w:color w:val="000000"/>
          <w:sz w:val="24"/>
          <w:szCs w:val="24"/>
          <w:lang w:val="ru-RU" w:eastAsia="en-US"/>
        </w:rPr>
        <w:t>–</w:t>
      </w:r>
      <w:r>
        <w:rPr>
          <w:color w:val="000000"/>
          <w:sz w:val="24"/>
          <w:szCs w:val="24"/>
          <w:lang w:val="ru-RU" w:eastAsia="en-US"/>
        </w:rPr>
        <w:t xml:space="preserve"> </w:t>
      </w:r>
      <w:r>
        <w:rPr>
          <w:b w:val="false"/>
          <w:color w:val="000000"/>
          <w:sz w:val="24"/>
          <w:szCs w:val="24"/>
          <w:lang w:val="ru-RU"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w:t>
        <w:br/>
        <w:t>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9"/>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9"/>
          <w:tab w:val="left" w:pos="567" w:leader="none"/>
        </w:tabs>
        <w:overflowPunct w:val="true"/>
        <w:spacing w:before="0" w:after="0"/>
        <w:ind w:firstLine="708"/>
        <w:jc w:val="both"/>
        <w:textAlignment w:val="baseline"/>
        <w:rPr>
          <w:bCs/>
        </w:rPr>
      </w:pPr>
      <w:r>
        <w:rPr>
          <w:b w:val="false"/>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br/>
        <w:t>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Предмет Договора</w:t>
      </w:r>
    </w:p>
    <w:p>
      <w:pPr>
        <w:pStyle w:val="ListParagraph"/>
        <w:numPr>
          <w:ilvl w:val="1"/>
          <w:numId w:val="4"/>
        </w:numPr>
        <w:shd w:val="clear" w:color="auto" w:fill="FFFFFF"/>
        <w:tabs>
          <w:tab w:val="clear" w:pos="709"/>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w:t>
      </w:r>
      <w:r>
        <w:rPr>
          <w:i/>
          <w:sz w:val="22"/>
          <w:szCs w:val="22"/>
          <w:lang w:eastAsia="en-US"/>
        </w:rPr>
        <w:t>Поставку, монтаж и наладку оборудования системы пожарной сигнализации, системы оповещения и управления эвакуацией, газового пожаротушения здания гидроэлектростанции Новосибирской ГЭС  в рамках выполнения инвестиционного проекта Q_0115-6</w:t>
      </w:r>
      <w:r>
        <w:rPr>
          <w:bCs/>
        </w:rPr>
        <w:t xml:space="preserve"> (далее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 Подрядчиком Оборудования, создать Подрядчику указанные </w:t>
        <w:br/>
        <w:t>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9"/>
          <w:tab w:val="left" w:pos="1134" w:leader="none"/>
        </w:tabs>
        <w:ind w:left="0" w:firstLine="709"/>
        <w:jc w:val="both"/>
        <w:rPr>
          <w:bCs/>
        </w:rPr>
      </w:pPr>
      <w:r>
        <w:rPr>
          <w:bCs/>
        </w:rPr>
        <w:t>В состав Работ по Договору входят:</w:t>
      </w:r>
    </w:p>
    <w:p>
      <w:pPr>
        <w:pStyle w:val="ListParagraph"/>
        <w:numPr>
          <w:ilvl w:val="2"/>
          <w:numId w:val="4"/>
        </w:numPr>
        <w:shd w:val="clear" w:color="auto" w:fill="FFFFFF"/>
        <w:tabs>
          <w:tab w:val="clear" w:pos="709"/>
          <w:tab w:val="left" w:pos="1418" w:leader="none"/>
        </w:tabs>
        <w:ind w:left="0" w:firstLine="709"/>
        <w:jc w:val="both"/>
        <w:rPr>
          <w:bCs/>
        </w:rPr>
      </w:pPr>
      <w:r>
        <w:rPr>
          <w:bCs/>
        </w:rPr>
        <w:t>Поставка Оборудования.</w:t>
      </w:r>
    </w:p>
    <w:p>
      <w:pPr>
        <w:pStyle w:val="ListParagraph"/>
        <w:numPr>
          <w:ilvl w:val="2"/>
          <w:numId w:val="4"/>
        </w:numPr>
        <w:shd w:val="clear" w:color="auto" w:fill="FFFFFF"/>
        <w:tabs>
          <w:tab w:val="clear" w:pos="709"/>
          <w:tab w:val="left" w:pos="1418" w:leader="none"/>
        </w:tabs>
        <w:ind w:left="0" w:firstLine="709"/>
        <w:jc w:val="both"/>
        <w:rPr>
          <w:bCs/>
        </w:rPr>
      </w:pPr>
      <w:r>
        <w:rPr>
          <w:bCs/>
        </w:rPr>
        <w:t>Строительно-монтажные работы.</w:t>
      </w:r>
    </w:p>
    <w:p>
      <w:pPr>
        <w:pStyle w:val="ListParagraph"/>
        <w:numPr>
          <w:ilvl w:val="2"/>
          <w:numId w:val="4"/>
        </w:numPr>
        <w:shd w:val="clear" w:color="auto" w:fill="FFFFFF"/>
        <w:tabs>
          <w:tab w:val="clear" w:pos="709"/>
          <w:tab w:val="left" w:pos="1418" w:leader="none"/>
        </w:tabs>
        <w:ind w:left="0" w:firstLine="709"/>
        <w:jc w:val="both"/>
        <w:rPr>
          <w:bCs/>
        </w:rPr>
      </w:pPr>
      <w:r>
        <w:rPr>
          <w:bCs/>
        </w:rPr>
        <w:t>Пусконаладочные работы.</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br/>
        <w:t>в строгом соответствии с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Работы по Договору выполняются для нужд филиала ПАО «РусГидро» - «Новосибирская ГЭС». </w:t>
      </w:r>
    </w:p>
    <w:p>
      <w:pPr>
        <w:pStyle w:val="ListParagraph"/>
        <w:numPr>
          <w:ilvl w:val="1"/>
          <w:numId w:val="4"/>
        </w:numPr>
        <w:shd w:val="clear" w:color="auto" w:fill="FFFFFF"/>
        <w:tabs>
          <w:tab w:val="clear" w:pos="709"/>
          <w:tab w:val="left" w:pos="1134" w:leader="none"/>
        </w:tabs>
        <w:ind w:left="0" w:firstLine="709"/>
        <w:jc w:val="both"/>
        <w:rPr>
          <w:bCs/>
        </w:rPr>
      </w:pPr>
      <w:r>
        <w:rPr>
          <w:bCs/>
        </w:rPr>
        <w:t>Место выполнения Работ и поставки Оборудования: г. Новосибирск, ул. Новоморская, 4</w:t>
      </w:r>
      <w:r>
        <w:rPr/>
        <w:t>.</w:t>
      </w:r>
    </w:p>
    <w:p>
      <w:pPr>
        <w:pStyle w:val="ListParagraph"/>
        <w:numPr>
          <w:ilvl w:val="1"/>
          <w:numId w:val="4"/>
        </w:numPr>
        <w:shd w:val="clear" w:color="auto" w:fill="FFFFFF"/>
        <w:tabs>
          <w:tab w:val="clear" w:pos="709"/>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9"/>
          <w:tab w:val="left" w:pos="1418" w:leader="none"/>
        </w:tabs>
        <w:ind w:left="0" w:firstLine="709"/>
        <w:jc w:val="both"/>
        <w:rPr/>
      </w:pPr>
      <w:r>
        <w:rPr>
          <w:bCs/>
        </w:rPr>
        <w:t xml:space="preserve">начало выполнения Работ: </w:t>
      </w:r>
      <w:r>
        <w:rPr/>
        <w:t xml:space="preserve">с даты, следующей </w:t>
        <w:br/>
        <w:t>за датой заключения Договора;</w:t>
      </w:r>
    </w:p>
    <w:p>
      <w:pPr>
        <w:pStyle w:val="ListParagraph"/>
        <w:numPr>
          <w:ilvl w:val="2"/>
          <w:numId w:val="4"/>
        </w:numPr>
        <w:shd w:val="clear" w:color="auto" w:fill="FFFFFF"/>
        <w:tabs>
          <w:tab w:val="clear" w:pos="709"/>
          <w:tab w:val="left" w:pos="1418" w:leader="none"/>
        </w:tabs>
        <w:ind w:left="0" w:firstLine="709"/>
        <w:jc w:val="both"/>
        <w:rPr/>
      </w:pPr>
      <w:r>
        <w:rPr>
          <w:bCs/>
        </w:rPr>
        <w:t xml:space="preserve">окончание выполнения Работ: </w:t>
      </w:r>
      <w:r>
        <w:rPr/>
        <w:t>«01» сентября 2027 года.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и поставки Оборудования определяются Календарным графиком поставки Оборудования и выполнения Работ (Приложение № 3 к Договору) </w:t>
        <w:br/>
        <w:t xml:space="preserve">в рамках общих сроков, указанных в пункте 1.6 Договора.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10 к Договору.</w:t>
      </w:r>
    </w:p>
    <w:p>
      <w:pPr>
        <w:pStyle w:val="ListParagraph"/>
        <w:shd w:val="clear" w:color="auto" w:fill="FFFFFF"/>
        <w:tabs>
          <w:tab w:val="clear" w:pos="709"/>
          <w:tab w:val="left" w:pos="1134" w:leader="none"/>
        </w:tabs>
        <w:ind w:left="567"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Поставка Оборудования</w:t>
      </w:r>
    </w:p>
    <w:p>
      <w:pPr>
        <w:pStyle w:val="ListParagraph"/>
        <w:numPr>
          <w:ilvl w:val="1"/>
          <w:numId w:val="4"/>
        </w:numPr>
        <w:shd w:val="clear" w:color="auto" w:fill="FFFFFF"/>
        <w:tabs>
          <w:tab w:val="clear" w:pos="709"/>
          <w:tab w:val="left" w:pos="1418" w:leader="none"/>
        </w:tabs>
        <w:ind w:left="0" w:firstLine="710"/>
        <w:jc w:val="both"/>
        <w:rPr>
          <w:bCs/>
        </w:rPr>
      </w:pPr>
      <w:r>
        <w:rPr>
          <w:bCs/>
        </w:rPr>
        <w:t xml:space="preserve">Качество, комплектность, количество и ассортимент поставляемого по Договору Оборудования должны соответствовать Рабочей документации, требованиям Договора и Заказчика, в том числе, указанным в Спецификации Оборудования (Приложение № 2 к Договору), а также Применимого к Оборудованию права. </w:t>
      </w:r>
    </w:p>
    <w:p>
      <w:pPr>
        <w:pStyle w:val="ListParagraph"/>
        <w:shd w:val="clear" w:color="auto" w:fill="FFFFFF"/>
        <w:tabs>
          <w:tab w:val="clear" w:pos="709"/>
          <w:tab w:val="left" w:pos="1418" w:leader="none"/>
        </w:tabs>
        <w:ind w:left="0" w:firstLine="710"/>
        <w:jc w:val="both"/>
        <w:rPr>
          <w:bCs/>
        </w:rPr>
      </w:pPr>
      <w:r>
        <w:rPr>
          <w:bCs/>
        </w:rPr>
        <w:t>Подрядчик не вправе производить замену Оборудования на иное Оборудование, если это приведет к несоблюдению защитных мер, установленных законодательством о Национальном режиме.</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Поставляемое Оборудование должно быть новым, не бывшим в употреблении, пригодным для использования по своему назначению. Подрядчик гарантирует, </w:t>
        <w:br/>
        <w:t>что Оборудование принадлежит ему на законном основании, в споре, залоге или под арестом не состоит, и не обременено правами третьих лиц.</w:t>
      </w:r>
    </w:p>
    <w:p>
      <w:pPr>
        <w:pStyle w:val="ListParagraph"/>
        <w:numPr>
          <w:ilvl w:val="1"/>
          <w:numId w:val="4"/>
        </w:numPr>
        <w:shd w:val="clear" w:color="auto" w:fill="FFFFFF"/>
        <w:tabs>
          <w:tab w:val="clear" w:pos="709"/>
          <w:tab w:val="left" w:pos="1134" w:leader="none"/>
        </w:tabs>
        <w:ind w:left="0" w:firstLine="709"/>
        <w:jc w:val="both"/>
        <w:rPr>
          <w:bCs/>
        </w:rPr>
      </w:pPr>
      <w:bookmarkStart w:id="2" w:name="_Ref361408377"/>
      <w:r>
        <w:rPr>
          <w:bCs/>
        </w:rPr>
        <w:t>Одновременно с передачей Оборудования Подрядчик обязан передать Заказчику оригиналы следующих относящихся к нему документов:</w:t>
      </w:r>
      <w:bookmarkEnd w:id="2"/>
      <w:r>
        <w:rPr>
          <w:bCs/>
        </w:rPr>
        <w:t xml:space="preserve"> </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сертификат качества в 1 (одном) экз.;</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технический паспорт на русском языке в 1 (одном) экз.;</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инструкция по эксплуатации на русском языке в 1 (одном) экз.;</w:t>
      </w:r>
    </w:p>
    <w:p>
      <w:pPr>
        <w:pStyle w:val="Normal"/>
        <w:widowControl w:val="false"/>
        <w:numPr>
          <w:ilvl w:val="0"/>
          <w:numId w:val="8"/>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упаковочный лист в 1 (одном) экз.;</w:t>
      </w:r>
    </w:p>
    <w:p>
      <w:pPr>
        <w:pStyle w:val="Normal"/>
        <w:widowControl w:val="false"/>
        <w:numPr>
          <w:ilvl w:val="0"/>
          <w:numId w:val="7"/>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br/>
        <w:t>сертификат о происхождении товара и т.п.) в зависимости от номенклатуры поставляемого Оборудования;</w:t>
      </w:r>
    </w:p>
    <w:p>
      <w:pPr>
        <w:pStyle w:val="Normal"/>
        <w:widowControl w:val="false"/>
        <w:numPr>
          <w:ilvl w:val="0"/>
          <w:numId w:val="7"/>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 в 1 (одном) экз.;</w:t>
      </w:r>
    </w:p>
    <w:p>
      <w:pPr>
        <w:pStyle w:val="Normal"/>
        <w:widowControl w:val="false"/>
        <w:numPr>
          <w:ilvl w:val="0"/>
          <w:numId w:val="7"/>
        </w:numPr>
        <w:shd w:val="clear" w:color="auto" w:fill="FFFFFF"/>
        <w:tabs>
          <w:tab w:val="clear" w:pos="709"/>
          <w:tab w:val="left" w:pos="1134" w:leader="none"/>
        </w:tabs>
        <w:spacing w:lineRule="auto" w:line="240"/>
        <w:ind w:left="0" w:firstLine="709"/>
        <w:rPr>
          <w:color w:val="000000"/>
          <w:sz w:val="24"/>
          <w:szCs w:val="24"/>
        </w:rPr>
      </w:pPr>
      <w:r>
        <w:rPr>
          <w:color w:val="000000"/>
          <w:sz w:val="24"/>
          <w:szCs w:val="24"/>
        </w:rPr>
        <w:t>Накладная ТОРГ-12/УПД в 2 (двух) экз.</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Подрядчик обязан обеспечить присутствие во время приёмки Оборудования </w:t>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w:t>
        <w:br/>
        <w:t xml:space="preserve">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pPr>
        <w:pStyle w:val="ListParagraph"/>
        <w:shd w:val="clear" w:color="auto" w:fill="FFFFFF"/>
        <w:tabs>
          <w:tab w:val="clear" w:pos="709"/>
          <w:tab w:val="left" w:pos="1134" w:leader="none"/>
          <w:tab w:val="left" w:pos="1418" w:leader="none"/>
        </w:tabs>
        <w:ind w:left="709" w:hanging="0"/>
        <w:jc w:val="both"/>
        <w:rPr>
          <w:bCs/>
        </w:rPr>
      </w:pPr>
      <w:r>
        <w:rPr>
          <w:bCs/>
        </w:rPr>
        <w:t>Оригинал доверенности представителя Подрядчика подлежит передаче Заказчику.</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w:t>
        <w:br/>
        <w:t xml:space="preserve">в одностороннем порядке Акт рекламации будет являться достаточным основанием </w:t>
        <w:br/>
        <w:t>для применения к Подрядчику мер ответственности, установленных Договором.</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bookmarkStart w:id="3" w:name="_Ref361408474"/>
      <w:r>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3"/>
      <w:r>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pPr>
        <w:pStyle w:val="ListParagraph"/>
        <w:shd w:val="clear" w:color="auto" w:fill="FFFFFF"/>
        <w:tabs>
          <w:tab w:val="clear" w:pos="709"/>
          <w:tab w:val="left" w:pos="1134" w:leader="none"/>
          <w:tab w:val="left" w:pos="1418" w:leader="none"/>
        </w:tabs>
        <w:ind w:left="0" w:firstLine="709"/>
        <w:jc w:val="both"/>
        <w:rPr>
          <w:bCs/>
        </w:rPr>
      </w:pPr>
      <w:r>
        <w:rPr>
          <w:bCs/>
        </w:rPr>
        <w:t xml:space="preserve">Отдельные требования к упаковке и маркировке негабаритного Оборудования, </w:t>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pPr>
        <w:pStyle w:val="ListParagraph"/>
        <w:shd w:val="clear" w:color="auto" w:fill="FFFFFF"/>
        <w:tabs>
          <w:tab w:val="clear" w:pos="709"/>
          <w:tab w:val="left" w:pos="1134" w:leader="none"/>
          <w:tab w:val="left" w:pos="1418" w:leader="none"/>
        </w:tabs>
        <w:ind w:left="0" w:firstLine="709"/>
        <w:jc w:val="both"/>
        <w:rPr>
          <w:bCs/>
        </w:rPr>
      </w:pPr>
      <w:r>
        <w:rPr>
          <w:bCs/>
        </w:rPr>
        <w:t xml:space="preserve">Стоимость тары и упаковки включена в Цену Договора. Тара и упаковка возврату </w:t>
        <w:br/>
        <w:t xml:space="preserve">не подлежат.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Погрузка, доставка, разгрузку и перемещение Оборудования (в том числе </w:t>
        <w:br/>
        <w:t xml:space="preserve">по территории Заказчика) осуществляется Подрядчиком.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Досрочная поставка Оборудования допускается только при условии получения Подрядчиком письменного согласия Заказчика. </w:t>
      </w:r>
    </w:p>
    <w:p>
      <w:pPr>
        <w:pStyle w:val="ListParagraph"/>
        <w:numPr>
          <w:ilvl w:val="1"/>
          <w:numId w:val="4"/>
        </w:numPr>
        <w:shd w:val="clear" w:color="auto" w:fill="FFFFFF"/>
        <w:tabs>
          <w:tab w:val="clear" w:pos="709"/>
          <w:tab w:val="left" w:pos="1134" w:leader="none"/>
          <w:tab w:val="left" w:pos="1418" w:leader="none"/>
        </w:tabs>
        <w:ind w:left="0" w:firstLine="709"/>
        <w:jc w:val="both"/>
        <w:rPr/>
      </w:pPr>
      <w:bookmarkStart w:id="4" w:name="_Ref361396594"/>
      <w:r>
        <w:rPr/>
        <w:t>Датой поставки Оборудования является дата подписания Сторонами Накладной ТОРГ-12/УПД.</w:t>
      </w:r>
      <w:bookmarkEnd w:id="4"/>
      <w:r>
        <w:rPr/>
        <w:t xml:space="preserve">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При обнаружении фактов некомплектности, недопоставки Оборудования, отсутствия необходимых принадлежностей и / или документов, относящихся </w:t>
        <w:br/>
        <w:t xml:space="preserve">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pPr>
        <w:pStyle w:val="ListParagraph"/>
        <w:shd w:val="clear" w:color="auto" w:fill="FFFFFF"/>
        <w:tabs>
          <w:tab w:val="clear" w:pos="709"/>
          <w:tab w:val="left" w:pos="1134" w:leader="none"/>
          <w:tab w:val="left" w:pos="1418" w:leader="none"/>
        </w:tabs>
        <w:ind w:left="0" w:firstLine="709"/>
        <w:jc w:val="both"/>
        <w:rPr/>
      </w:pPr>
      <w:bookmarkStart w:id="5" w:name="_Ref361408232"/>
      <w:r>
        <w:rPr/>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5"/>
      <w:r>
        <w:rPr/>
        <w:t xml:space="preserve">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Приемка Оборудования со вскрытием тары и упаковки производится Заказчиком в присутствии представителя Подрядчика в течение 10 (десяти) рабочих дней </w:t>
        <w:br/>
        <w:t xml:space="preserve">с даты подписания Заказчиком </w:t>
      </w:r>
      <w:r>
        <w:rPr>
          <w:color w:val="000000"/>
        </w:rPr>
        <w:t>транспортных документов</w:t>
      </w:r>
      <w:r>
        <w:rPr/>
        <w:t xml:space="preserve">. В случае отсутствия замечаний Заказчик подписывает </w:t>
      </w:r>
      <w:r>
        <w:rPr>
          <w:color w:val="000000"/>
        </w:rPr>
        <w:t>Накладную ТОРГ-12/УПД.</w:t>
      </w:r>
    </w:p>
    <w:p>
      <w:pPr>
        <w:pStyle w:val="Normal"/>
        <w:widowControl w:val="false"/>
        <w:numPr>
          <w:ilvl w:val="1"/>
          <w:numId w:val="4"/>
        </w:numPr>
        <w:shd w:val="clear" w:color="auto" w:fill="FFFFFF"/>
        <w:tabs>
          <w:tab w:val="clear" w:pos="709"/>
          <w:tab w:val="left" w:pos="1418" w:leader="none"/>
        </w:tabs>
        <w:spacing w:lineRule="auto" w:line="240"/>
        <w:ind w:left="0" w:firstLine="709"/>
        <w:rPr>
          <w:sz w:val="24"/>
          <w:szCs w:val="24"/>
        </w:rPr>
      </w:pPr>
      <w:r>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pPr>
        <w:pStyle w:val="Normal"/>
        <w:widowControl w:val="false"/>
        <w:shd w:val="clear" w:color="auto" w:fill="FFFFFF"/>
        <w:spacing w:lineRule="auto" w:line="240"/>
        <w:ind w:firstLine="709"/>
        <w:rPr>
          <w:sz w:val="24"/>
          <w:szCs w:val="24"/>
        </w:rPr>
      </w:pPr>
      <w:r>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срок, установленный Сторонами в Акте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pPr>
        <w:pStyle w:val="Normal"/>
        <w:widowControl w:val="false"/>
        <w:shd w:val="clear" w:color="auto" w:fill="FFFFFF"/>
        <w:spacing w:lineRule="auto" w:line="240"/>
        <w:ind w:firstLine="709"/>
        <w:rPr>
          <w:sz w:val="24"/>
          <w:szCs w:val="24"/>
        </w:rPr>
      </w:pPr>
      <w:r>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pPr>
        <w:pStyle w:val="ListParagraph"/>
        <w:numPr>
          <w:ilvl w:val="1"/>
          <w:numId w:val="4"/>
        </w:numPr>
        <w:ind w:left="0" w:firstLine="709"/>
        <w:jc w:val="both"/>
        <w:rPr/>
      </w:pPr>
      <w:r>
        <w:rPr/>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pPr>
        <w:pStyle w:val="ListParagraph"/>
        <w:ind w:left="0" w:firstLine="709"/>
        <w:jc w:val="both"/>
        <w:rPr/>
      </w:pPr>
      <w:r>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br/>
        <w:t xml:space="preserve">при Совете Министров СССР от 15.06.1965 № П-6 (за исключением пунктов 18, 21, 29-32), Инструкцией Госарбитража при Совете Министров СССР от 25.04.1966 № П-7 </w:t>
        <w:br/>
        <w:t>(за исключением пунктов 20, 23, абз.3 пункта 30, 35, 38-42).</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9"/>
          <w:tab w:val="left" w:pos="1418" w:leader="none"/>
        </w:tabs>
        <w:ind w:left="0" w:firstLine="709"/>
        <w:jc w:val="both"/>
        <w:rPr/>
      </w:pPr>
      <w:bookmarkStart w:id="6" w:name="_Ref361396847"/>
      <w:bookmarkStart w:id="7" w:name="_Ref361320734"/>
      <w:bookmarkStart w:id="8" w:name="_Ref361401696"/>
      <w:r>
        <w:rPr>
          <w:bCs/>
        </w:rPr>
        <w:t xml:space="preserve">В течение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10"/>
        </w:numPr>
        <w:shd w:val="clear" w:color="auto" w:fill="FFFFFF"/>
        <w:tabs>
          <w:tab w:val="left" w:pos="709" w:leader="none"/>
          <w:tab w:val="left" w:pos="1418" w:leader="none"/>
        </w:tabs>
        <w:ind w:left="0" w:firstLine="709"/>
        <w:jc w:val="both"/>
        <w:rPr/>
      </w:pPr>
      <w: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5.1 к Договору);</w:t>
      </w:r>
    </w:p>
    <w:p>
      <w:pPr>
        <w:pStyle w:val="ListParagraph"/>
        <w:numPr>
          <w:ilvl w:val="0"/>
          <w:numId w:val="10"/>
        </w:numPr>
        <w:shd w:val="clear" w:color="auto" w:fill="FFFFFF"/>
        <w:tabs>
          <w:tab w:val="left" w:pos="709" w:leader="none"/>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br/>
        <w:t>№ 5.2 к Договору);</w:t>
      </w:r>
      <w:r>
        <w:rPr/>
        <w:t xml:space="preserve"> </w:t>
      </w:r>
      <w:bookmarkEnd w:id="6"/>
      <w:bookmarkEnd w:id="7"/>
      <w:bookmarkEnd w:id="8"/>
    </w:p>
    <w:p>
      <w:pPr>
        <w:pStyle w:val="PlainText"/>
        <w:numPr>
          <w:ilvl w:val="2"/>
          <w:numId w:val="4"/>
        </w:numPr>
        <w:ind w:left="0" w:firstLine="709"/>
        <w:jc w:val="both"/>
        <w:rPr>
          <w:rFonts w:ascii="Times New Roman" w:hAnsi="Times New Roman" w:cs="Times New Roman"/>
          <w:sz w:val="24"/>
          <w:szCs w:val="24"/>
        </w:rPr>
      </w:pPr>
      <w:r>
        <w:rPr>
          <w:rFonts w:cs="Times New Roman" w:ascii="Times New Roman" w:hAnsi="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left" w:pos="709" w:leader="none"/>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12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4"/>
        </w:numPr>
        <w:tabs>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left" w:pos="709" w:leader="none"/>
        </w:tabs>
        <w:ind w:left="0" w:firstLine="709"/>
        <w:jc w:val="both"/>
        <w:rPr>
          <w:bCs/>
        </w:rPr>
      </w:pPr>
      <w:r>
        <w:rPr>
          <w:bCs/>
        </w:rPr>
        <w:t>Выполнять иные обязанности, предусмотренные Договором.</w:t>
      </w:r>
    </w:p>
    <w:p>
      <w:pPr>
        <w:pStyle w:val="ListParagraph"/>
        <w:shd w:val="clear" w:color="auto" w:fill="FFFFFF"/>
        <w:tabs>
          <w:tab w:val="left" w:pos="709" w:leader="none"/>
        </w:tabs>
        <w:ind w:left="709" w:hanging="0"/>
        <w:jc w:val="both"/>
        <w:rPr>
          <w:bCs/>
        </w:rPr>
      </w:pPr>
      <w:r>
        <w:rPr>
          <w:bCs/>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9"/>
          <w:tab w:val="left" w:pos="1418" w:leader="none"/>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bookmarkStart w:id="10"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4"/>
        </w:numPr>
        <w:shd w:val="clear" w:color="auto" w:fill="FFFFFF"/>
        <w:tabs>
          <w:tab w:val="clear" w:pos="709"/>
          <w:tab w:val="left" w:pos="1418" w:leader="none"/>
        </w:tabs>
        <w:ind w:left="0" w:firstLine="709"/>
        <w:jc w:val="both"/>
        <w:rPr>
          <w:bCs/>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pPr>
        <w:pStyle w:val="ListParagraph"/>
        <w:numPr>
          <w:ilvl w:val="2"/>
          <w:numId w:val="4"/>
        </w:numPr>
        <w:shd w:val="clear" w:color="auto" w:fill="FFFFFF"/>
        <w:tabs>
          <w:tab w:val="clear" w:pos="709"/>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9"/>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9"/>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9"/>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shd w:val="clear" w:color="auto" w:fill="FFFFFF"/>
        <w:tabs>
          <w:tab w:val="clear" w:pos="709"/>
          <w:tab w:val="left" w:pos="567" w:leader="none"/>
          <w:tab w:val="left" w:pos="1418" w:leader="none"/>
        </w:tabs>
        <w:ind w:left="0" w:firstLine="709"/>
        <w:jc w:val="both"/>
        <w:rPr>
          <w:bCs/>
        </w:rPr>
      </w:pPr>
      <w:r>
        <w:rPr>
          <w:bCs/>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Подрядчик обязан</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срок, указанный в пункте 3.1.2 Договора, принять от Заказчика на время выполнения Работ по Договору: </w:t>
      </w:r>
    </w:p>
    <w:p>
      <w:pPr>
        <w:pStyle w:val="ListParagraph"/>
        <w:numPr>
          <w:ilvl w:val="0"/>
          <w:numId w:val="20"/>
        </w:numPr>
        <w:shd w:val="clear" w:color="auto" w:fill="FFFFFF"/>
        <w:tabs>
          <w:tab w:val="clear" w:pos="709"/>
          <w:tab w:val="left" w:pos="1418" w:leader="none"/>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br/>
        <w:t>и Оборудования по соответствующим актам сдачи-приемки (Приложение № 5.1 к Договору);</w:t>
      </w:r>
    </w:p>
    <w:p>
      <w:pPr>
        <w:pStyle w:val="ListParagraph"/>
        <w:numPr>
          <w:ilvl w:val="0"/>
          <w:numId w:val="20"/>
        </w:numPr>
        <w:shd w:val="clear" w:color="auto" w:fill="FFFFFF"/>
        <w:tabs>
          <w:tab w:val="clear" w:pos="709"/>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При приемке места производства Работ, места (помещения) для складирования материалов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shd w:val="clear" w:color="auto" w:fill="FFFFFF"/>
        <w:tabs>
          <w:tab w:val="clear" w:pos="709"/>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9"/>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6"/>
        </w:numPr>
        <w:shd w:val="clear" w:color="auto" w:fill="FFFFFF"/>
        <w:tabs>
          <w:tab w:val="clear" w:pos="709"/>
          <w:tab w:val="left" w:pos="1418"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6"/>
        </w:numPr>
        <w:shd w:val="clear" w:color="auto" w:fill="FFFFFF"/>
        <w:tabs>
          <w:tab w:val="left" w:pos="709"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6"/>
        </w:numPr>
        <w:shd w:val="clear" w:color="auto" w:fill="FFFFFF"/>
        <w:tabs>
          <w:tab w:val="left" w:pos="709" w:leader="none"/>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5.1 к Договору) в соответствии с пунктами 3.1.2 и 3.1.3 Договора;</w:t>
      </w:r>
    </w:p>
    <w:p>
      <w:pPr>
        <w:pStyle w:val="ListParagraph"/>
        <w:numPr>
          <w:ilvl w:val="0"/>
          <w:numId w:val="16"/>
        </w:numPr>
        <w:shd w:val="clear" w:color="auto" w:fill="FFFFFF"/>
        <w:tabs>
          <w:tab w:val="left" w:pos="709"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3.2.3 и разделе 16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9"/>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9"/>
          <w:tab w:val="left" w:pos="1418" w:leader="none"/>
        </w:tabs>
        <w:ind w:left="0" w:firstLine="709"/>
        <w:jc w:val="both"/>
        <w:rPr/>
      </w:pPr>
      <w:r>
        <w:rPr/>
        <w:t xml:space="preserve">Подрядчик обязан незамедлительно, но в любом случае не позднее рабочего дня, следующего за днем наступления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9"/>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9"/>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9"/>
          <w:tab w:val="left" w:pos="1418" w:leader="none"/>
        </w:tabs>
        <w:ind w:left="0" w:firstLine="709"/>
        <w:jc w:val="both"/>
        <w:rPr/>
      </w:pPr>
      <w:r>
        <w:rPr/>
        <w:t>Обеспечить:</w:t>
      </w:r>
    </w:p>
    <w:p>
      <w:pPr>
        <w:pStyle w:val="ListParagraph"/>
        <w:numPr>
          <w:ilvl w:val="0"/>
          <w:numId w:val="17"/>
        </w:numPr>
        <w:shd w:val="clear" w:color="auto" w:fill="FFFFFF"/>
        <w:tabs>
          <w:tab w:val="clear" w:pos="709"/>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9"/>
          <w:tab w:val="left" w:pos="1418" w:leader="none"/>
        </w:tabs>
        <w:ind w:left="0" w:firstLine="709"/>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9"/>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 </w:t>
      </w: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применения контролирующими органами штрафных санкций </w:t>
        <w:br/>
        <w:t xml:space="preserve">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w:t>
        <w:br/>
        <w:t>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9"/>
          <w:tab w:val="left" w:pos="1418" w:leader="none"/>
        </w:tabs>
        <w:ind w:left="0" w:firstLine="709"/>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9"/>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9"/>
          <w:tab w:val="left" w:pos="1418" w:leader="none"/>
        </w:tabs>
        <w:ind w:left="0" w:firstLine="709"/>
        <w:jc w:val="both"/>
        <w:rPr>
          <w:bCs/>
        </w:rPr>
      </w:pP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shd w:val="clear" w:color="auto" w:fill="FFFFFF"/>
        <w:tabs>
          <w:tab w:val="clear" w:pos="709"/>
          <w:tab w:val="left" w:pos="1418" w:leader="none"/>
        </w:tabs>
        <w:ind w:left="0" w:firstLine="709"/>
        <w:jc w:val="both"/>
        <w:rPr>
          <w:bCs/>
        </w:rPr>
      </w:pPr>
      <w:r>
        <w:rPr>
          <w:bCs/>
        </w:rPr>
        <w:t>Подрядчик обязан предъявлять Заказчику материальные ценности, образованные в результате демонтажа объектов основных средств или их частей, в т.ч. объектов незавершенного строительства, а также малоценные и быстроизнашивающиеся предметы, хозяйственный инвентарь, инструменты и приспособления общего и специального назначения в порядке, установленном в Приложении № 13 к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w:t>
        <w:br/>
        <w:t xml:space="preserve">в деятельность Подрядчика. </w:t>
      </w:r>
    </w:p>
    <w:p>
      <w:pPr>
        <w:pStyle w:val="Normal"/>
        <w:shd w:val="clear" w:color="auto" w:fill="FFFFFF"/>
        <w:tabs>
          <w:tab w:val="clear" w:pos="709"/>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br/>
        <w:t xml:space="preserve">к Договору. </w:t>
      </w:r>
    </w:p>
    <w:p>
      <w:pPr>
        <w:pStyle w:val="Normal"/>
        <w:shd w:val="clear" w:color="auto" w:fill="FFFFFF"/>
        <w:tabs>
          <w:tab w:val="clear" w:pos="709"/>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3.3.22.1 Договора. </w:t>
      </w:r>
    </w:p>
    <w:p>
      <w:pPr>
        <w:pStyle w:val="ListParagraph"/>
        <w:shd w:val="clear" w:color="auto" w:fill="FFFFFF"/>
        <w:tabs>
          <w:tab w:val="clear" w:pos="709"/>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pPr>
        <w:pStyle w:val="ListParagraph"/>
        <w:numPr>
          <w:ilvl w:val="2"/>
          <w:numId w:val="4"/>
        </w:numPr>
        <w:shd w:val="clear" w:color="auto" w:fill="FFFFFF"/>
        <w:tabs>
          <w:tab w:val="clear" w:pos="709"/>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9"/>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9"/>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9"/>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9"/>
          <w:tab w:val="left" w:pos="567" w:leader="none"/>
        </w:tabs>
        <w:ind w:left="0" w:firstLine="709"/>
        <w:jc w:val="both"/>
        <w:rPr>
          <w:bCs/>
        </w:rPr>
      </w:pPr>
      <w:r>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9"/>
          <w:tab w:val="left" w:pos="1418" w:leader="none"/>
        </w:tabs>
        <w:ind w:left="0" w:firstLine="709"/>
        <w:jc w:val="both"/>
        <w:rPr>
          <w:bCs/>
        </w:rPr>
      </w:pP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8"/>
        </w:numPr>
        <w:ind w:left="0" w:right="23" w:firstLine="709"/>
        <w:jc w:val="both"/>
        <w:rPr/>
      </w:pPr>
      <w:r>
        <w:rPr/>
        <w:t>аварии – в течение 2 (двух) часов;</w:t>
      </w:r>
    </w:p>
    <w:p>
      <w:pPr>
        <w:pStyle w:val="ListParagraph"/>
        <w:numPr>
          <w:ilvl w:val="0"/>
          <w:numId w:val="18"/>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8"/>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8"/>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8"/>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8"/>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9"/>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4"/>
        </w:numPr>
        <w:shd w:val="clear" w:color="auto" w:fill="FFFFFF"/>
        <w:tabs>
          <w:tab w:val="clear" w:pos="709"/>
          <w:tab w:val="left" w:pos="1418" w:leader="none"/>
        </w:tabs>
        <w:ind w:left="0" w:firstLine="709"/>
        <w:jc w:val="both"/>
        <w:rPr/>
      </w:pPr>
      <w:r>
        <w:rPr/>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br/>
        <w:t xml:space="preserve">в Гарантийный период, а также связанные с несогласованными с Заказчиком отступлениями </w:t>
        <w:br/>
        <w:t>от требований Договора.</w:t>
      </w:r>
    </w:p>
    <w:p>
      <w:pPr>
        <w:pStyle w:val="ListParagraph"/>
        <w:shd w:val="clear" w:color="auto" w:fill="FFFFFF"/>
        <w:tabs>
          <w:tab w:val="clear" w:pos="709"/>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9"/>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9"/>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w:t>
        <w:b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br/>
        <w:t>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9"/>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договору(-ам) страхования. </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В случае предъявления налоговыми органами претензий и требований </w:t>
        <w:br/>
        <w:t>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9"/>
          <w:tab w:val="left" w:pos="1418" w:leader="none"/>
        </w:tabs>
        <w:ind w:left="0" w:firstLine="709"/>
        <w:jc w:val="both"/>
        <w:rPr>
          <w:color w:val="000000"/>
        </w:rPr>
      </w:pPr>
      <w:r>
        <w:rPr>
          <w:color w:val="000000"/>
        </w:rPr>
        <w:t xml:space="preserve"> </w:t>
      </w:r>
      <w:r>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pPr>
        <w:pStyle w:val="ListParagraph"/>
        <w:shd w:val="clear" w:color="auto" w:fill="FFFFFF"/>
        <w:tabs>
          <w:tab w:val="clear" w:pos="709"/>
          <w:tab w:val="left" w:pos="1418" w:leader="none"/>
        </w:tabs>
        <w:ind w:left="0" w:firstLine="709"/>
        <w:jc w:val="both"/>
        <w:rPr>
          <w:color w:val="000000"/>
        </w:rPr>
      </w:pPr>
      <w:r>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pPr>
        <w:pStyle w:val="ListParagraph"/>
        <w:numPr>
          <w:ilvl w:val="2"/>
          <w:numId w:val="4"/>
        </w:numPr>
        <w:shd w:val="clear" w:color="auto" w:fill="FFFFFF"/>
        <w:tabs>
          <w:tab w:val="clear" w:pos="709"/>
          <w:tab w:val="left" w:pos="1418" w:leader="none"/>
        </w:tabs>
        <w:ind w:left="0" w:firstLine="709"/>
        <w:jc w:val="both"/>
        <w:rPr>
          <w:color w:val="000000"/>
        </w:rPr>
      </w:pPr>
      <w:r>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pPr>
        <w:pStyle w:val="ListParagraph"/>
        <w:numPr>
          <w:ilvl w:val="2"/>
          <w:numId w:val="4"/>
        </w:numPr>
        <w:shd w:val="clear" w:color="auto" w:fill="FFFFFF"/>
        <w:tabs>
          <w:tab w:val="clear" w:pos="709"/>
          <w:tab w:val="left" w:pos="1418" w:leader="none"/>
        </w:tabs>
        <w:ind w:left="0" w:firstLine="709"/>
        <w:jc w:val="both"/>
        <w:rPr>
          <w:color w:val="000000"/>
        </w:rPr>
      </w:pPr>
      <w:r>
        <w:rPr>
          <w:color w:val="000000"/>
        </w:rPr>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pPr>
        <w:pStyle w:val="ListParagraph"/>
        <w:numPr>
          <w:ilvl w:val="2"/>
          <w:numId w:val="4"/>
        </w:numPr>
        <w:ind w:left="0" w:firstLine="709"/>
        <w:jc w:val="both"/>
        <w:rPr>
          <w:color w:val="000000"/>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9"/>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shd w:val="clear" w:color="auto" w:fill="FFFFFF"/>
        <w:tabs>
          <w:tab w:val="clear" w:pos="709"/>
          <w:tab w:val="left" w:pos="1418" w:leader="none"/>
        </w:tabs>
        <w:ind w:left="709" w:hanging="0"/>
        <w:jc w:val="both"/>
        <w:rPr/>
      </w:pPr>
      <w:r>
        <w:rPr/>
      </w:r>
    </w:p>
    <w:p>
      <w:pPr>
        <w:pStyle w:val="ListParagraph"/>
        <w:numPr>
          <w:ilvl w:val="1"/>
          <w:numId w:val="4"/>
        </w:numPr>
        <w:shd w:val="clear" w:color="auto" w:fill="FFFFFF"/>
        <w:tabs>
          <w:tab w:val="clear" w:pos="709"/>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9"/>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25 (двадцать пять)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9"/>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21"/>
        </w:numPr>
        <w:shd w:val="clear" w:color="auto" w:fill="FFFFFF"/>
        <w:tabs>
          <w:tab w:val="left" w:pos="709" w:leader="none"/>
        </w:tabs>
        <w:ind w:left="0" w:firstLine="709"/>
        <w:jc w:val="both"/>
        <w:rPr>
          <w:bCs/>
        </w:rPr>
      </w:pPr>
      <w:r>
        <w:rPr>
          <w:bCs/>
        </w:rPr>
        <w:t xml:space="preserve">проект договора с Субподрядчиком; </w:t>
      </w:r>
    </w:p>
    <w:p>
      <w:pPr>
        <w:pStyle w:val="ListParagraph"/>
        <w:numPr>
          <w:ilvl w:val="0"/>
          <w:numId w:val="21"/>
        </w:numPr>
        <w:shd w:val="clear" w:color="auto" w:fill="FFFFFF"/>
        <w:tabs>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21"/>
        </w:numPr>
        <w:shd w:val="clear" w:color="auto" w:fill="FFFFFF"/>
        <w:tabs>
          <w:tab w:val="left" w:pos="709" w:leader="none"/>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21"/>
        </w:numPr>
        <w:shd w:val="clear" w:color="auto" w:fill="FFFFFF"/>
        <w:tabs>
          <w:tab w:val="left" w:pos="709" w:leader="none"/>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9"/>
          <w:tab w:val="left" w:pos="1418" w:leader="none"/>
        </w:tabs>
        <w:ind w:left="0" w:firstLine="426"/>
        <w:jc w:val="both"/>
        <w:rPr/>
      </w:pPr>
      <w:r>
        <w:rPr/>
      </w:r>
    </w:p>
    <w:p>
      <w:pPr>
        <w:pStyle w:val="ListParagraph"/>
        <w:numPr>
          <w:ilvl w:val="0"/>
          <w:numId w:val="4"/>
        </w:numPr>
        <w:shd w:val="clear" w:color="auto" w:fill="FFFFFF"/>
        <w:tabs>
          <w:tab w:val="clear" w:pos="709"/>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Цена </w:t>
      </w:r>
      <w:r>
        <w:rPr/>
        <w:t xml:space="preserve">Договора </w:t>
      </w:r>
      <w:r>
        <w:rPr>
          <w:bCs/>
        </w:rPr>
        <w:t>в соответствии со Сводным сметным расчетом</w:t>
      </w:r>
      <w:r>
        <w:rPr/>
        <w:t xml:space="preserve"> </w:t>
      </w:r>
      <w:r>
        <w:rPr>
          <w:bCs/>
        </w:rPr>
        <w:t xml:space="preserve">с приложениями (Приложение № 4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без учёта НДС, при этом НДС исчисляется дополнительно по ставке, установленной ст.164 Налогового кодекса РФ. </w:t>
      </w:r>
    </w:p>
    <w:p>
      <w:pPr>
        <w:pStyle w:val="ListParagraph"/>
        <w:numPr>
          <w:ilvl w:val="2"/>
          <w:numId w:val="4"/>
        </w:numPr>
        <w:shd w:val="clear" w:color="auto" w:fill="FFFFFF"/>
        <w:tabs>
          <w:tab w:val="clear" w:pos="709"/>
          <w:tab w:val="left" w:pos="1418" w:leader="none"/>
        </w:tabs>
        <w:ind w:left="0" w:firstLine="709"/>
        <w:jc w:val="both"/>
        <w:rPr>
          <w:bCs/>
        </w:rPr>
      </w:pPr>
      <w:r>
        <w:rPr>
          <w:bCs/>
        </w:rPr>
        <w:t>Твердая цена Оборудования составляет ______ (___________________) рублей ___ копеек без учёта НДС, при этом НДС исчисляется дополнительно по ставке, установленной ст.164 Налогового кодекса РФ.</w:t>
      </w:r>
    </w:p>
    <w:p>
      <w:pPr>
        <w:pStyle w:val="ListParagraph"/>
        <w:numPr>
          <w:ilvl w:val="2"/>
          <w:numId w:val="4"/>
        </w:numPr>
        <w:shd w:val="clear" w:color="auto" w:fill="FFFFFF"/>
        <w:tabs>
          <w:tab w:val="clear" w:pos="709"/>
          <w:tab w:val="left" w:pos="1418" w:leader="none"/>
        </w:tabs>
        <w:ind w:left="0" w:firstLine="709"/>
        <w:jc w:val="both"/>
        <w:rPr>
          <w:bCs/>
        </w:rPr>
      </w:pPr>
      <w:r>
        <w:rPr>
          <w:bCs/>
        </w:rPr>
        <w:t>Твердая цена Работ (без учета О</w:t>
      </w:r>
      <w:r>
        <w:rPr/>
        <w:t>борудования,</w:t>
      </w:r>
      <w:r>
        <w:rPr>
          <w:bCs/>
        </w:rPr>
        <w:t xml:space="preserve"> Проектных работ, Лимита затрат на временные здания и сооружения и Лимита на непредвиденные работы и затраты) составляет </w:t>
      </w:r>
      <w:r>
        <w:rPr/>
        <w:t xml:space="preserve">_______ </w:t>
      </w:r>
      <w:r>
        <w:rPr>
          <w:bCs/>
        </w:rPr>
        <w:t>(</w:t>
      </w:r>
      <w:r>
        <w:rPr/>
        <w:t>_______________</w:t>
      </w:r>
      <w:r>
        <w:rPr>
          <w:bCs/>
        </w:rPr>
        <w:t xml:space="preserve">) рублей </w:t>
      </w:r>
      <w:r>
        <w:rPr/>
        <w:t>___</w:t>
      </w:r>
      <w:r>
        <w:rPr>
          <w:bCs/>
        </w:rPr>
        <w:t xml:space="preserve"> копеек без учёта НДС, при этом НДС исчисляется дополнительно по ставке, установленной ст.164 Налогового кодекса РФ;</w:t>
      </w:r>
    </w:p>
    <w:p>
      <w:pPr>
        <w:pStyle w:val="ListParagraph"/>
        <w:numPr>
          <w:ilvl w:val="2"/>
          <w:numId w:val="4"/>
        </w:numPr>
        <w:shd w:val="clear" w:color="auto" w:fill="FFFFFF"/>
        <w:tabs>
          <w:tab w:val="clear" w:pos="709"/>
          <w:tab w:val="left" w:pos="1418" w:leader="none"/>
        </w:tabs>
        <w:ind w:left="0" w:firstLine="709"/>
        <w:jc w:val="both"/>
        <w:rPr/>
      </w:pPr>
      <w:r>
        <w:rPr/>
        <w:t xml:space="preserve">Лимит на непредвиденные работы и затраты составляет ______ </w:t>
      </w:r>
      <w:r>
        <w:rPr>
          <w:bCs/>
        </w:rPr>
        <w:t>(___________________)</w:t>
      </w:r>
      <w:r>
        <w:rPr/>
        <w:t xml:space="preserve"> рублей ___ копеек</w:t>
      </w:r>
      <w:r>
        <w:rPr>
          <w:bCs/>
        </w:rPr>
        <w:t xml:space="preserve"> без учёта НДС, при этом НДС исчисляется дополнительно по ставке, установленной ст.164 Налогового кодекса РФ</w:t>
      </w:r>
      <w:r>
        <w:rPr/>
        <w:t>;</w:t>
      </w:r>
    </w:p>
    <w:p>
      <w:pPr>
        <w:pStyle w:val="ListParagraph"/>
        <w:numPr>
          <w:ilvl w:val="1"/>
          <w:numId w:val="4"/>
        </w:numPr>
        <w:shd w:val="clear" w:color="auto" w:fill="FFFFFF"/>
        <w:tabs>
          <w:tab w:val="clear" w:pos="709"/>
          <w:tab w:val="left" w:pos="1134" w:leader="none"/>
        </w:tabs>
        <w:ind w:left="0" w:firstLine="709"/>
        <w:jc w:val="both"/>
        <w:rPr>
          <w:bCs/>
        </w:rPr>
      </w:pPr>
      <w:bookmarkStart w:id="12" w:name="_Ref361335465"/>
      <w:r>
        <w:rPr>
          <w:bCs/>
        </w:rPr>
        <w:t>Локальные сметные расчеты являются неотъемлемой частью Сводного сметного расчета с приложениями (Приложение № 4 к Договору).</w:t>
      </w:r>
      <w:bookmarkEnd w:id="12"/>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4"/>
        </w:numPr>
        <w:shd w:val="clear" w:color="auto" w:fill="FFFFFF"/>
        <w:tabs>
          <w:tab w:val="clear" w:pos="709"/>
          <w:tab w:val="left" w:pos="1418" w:leader="none"/>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Pr/>
        <w:t xml:space="preserve"> </w:t>
      </w:r>
      <w:r>
        <w:rPr>
          <w:bCs/>
        </w:rPr>
        <w:t xml:space="preserve">включая стоимость необходимых для эксплуатации Оборудования лицензий. </w:t>
      </w:r>
    </w:p>
    <w:p>
      <w:pPr>
        <w:pStyle w:val="ListParagraph"/>
        <w:numPr>
          <w:ilvl w:val="2"/>
          <w:numId w:val="4"/>
        </w:numPr>
        <w:shd w:val="clear" w:color="auto" w:fill="FFFFFF"/>
        <w:tabs>
          <w:tab w:val="clear" w:pos="709"/>
          <w:tab w:val="left" w:pos="1418" w:leader="none"/>
        </w:tabs>
        <w:ind w:left="0" w:firstLine="709"/>
        <w:jc w:val="both"/>
        <w:rPr/>
      </w:pPr>
      <w: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4"/>
        </w:numPr>
        <w:shd w:val="clear" w:color="auto" w:fill="FFFFFF"/>
        <w:tabs>
          <w:tab w:val="clear" w:pos="709"/>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4"/>
        </w:numPr>
        <w:shd w:val="clear" w:color="auto" w:fill="FFFFFF"/>
        <w:tabs>
          <w:tab w:val="clear" w:pos="709"/>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4"/>
        </w:numPr>
        <w:shd w:val="clear" w:color="auto" w:fill="FFFFFF"/>
        <w:tabs>
          <w:tab w:val="clear" w:pos="709"/>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9"/>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9"/>
          <w:tab w:val="left" w:pos="1134" w:leader="none"/>
        </w:tabs>
        <w:ind w:left="0" w:firstLine="709"/>
        <w:jc w:val="both"/>
        <w:rPr>
          <w:bCs/>
        </w:rPr>
      </w:pPr>
      <w:bookmarkStart w:id="13" w:name="_Ref361834675"/>
      <w:bookmarkStart w:id="14" w:name="_Ref361858588"/>
      <w:r>
        <w:rPr>
          <w:bCs/>
        </w:rPr>
        <w:t>Оплата по Договору осуществляется Заказчиком в следующем порядке:</w:t>
      </w:r>
      <w:bookmarkEnd w:id="13"/>
      <w:bookmarkEnd w:id="14"/>
      <w:r>
        <w:rPr>
          <w:bCs/>
        </w:rPr>
        <w:t xml:space="preserve"> </w:t>
      </w:r>
    </w:p>
    <w:p>
      <w:pPr>
        <w:pStyle w:val="ListParagraph"/>
        <w:numPr>
          <w:ilvl w:val="2"/>
          <w:numId w:val="4"/>
        </w:numPr>
        <w:shd w:val="clear" w:color="auto" w:fill="FFFFFF"/>
        <w:tabs>
          <w:tab w:val="clear" w:pos="709"/>
          <w:tab w:val="left" w:pos="1418" w:leader="none"/>
        </w:tabs>
        <w:ind w:left="0" w:firstLine="709"/>
        <w:jc w:val="both"/>
        <w:rPr/>
      </w:pPr>
      <w:bookmarkStart w:id="15" w:name="_Ref373242755"/>
      <w:bookmarkEnd w:id="15"/>
      <w:r>
        <w:rPr/>
        <w:t>Авансовые платежи за Оборудование в размере 30 (тридцати) процентов от стоимости соответствующего Оборудования выплачиваются Заказчиком в течение 30 (тридцати) календарных дней с даты получения Заказчиком счета, выставленного Подрядчиком, и получения Заказчиком уведомления от Подрядчика о начале изготовления Оборудования, но не ранее чем за 30 (тридцать) календарных дней до плановой даты начала изготовления Оборудования.</w:t>
      </w:r>
    </w:p>
    <w:p>
      <w:pPr>
        <w:pStyle w:val="ListParagraph"/>
        <w:numPr>
          <w:ilvl w:val="2"/>
          <w:numId w:val="4"/>
        </w:numPr>
        <w:shd w:val="clear" w:color="auto" w:fill="FFFFFF"/>
        <w:tabs>
          <w:tab w:val="clear" w:pos="709"/>
          <w:tab w:val="left" w:pos="1418" w:leader="none"/>
        </w:tabs>
        <w:ind w:left="0" w:firstLine="709"/>
        <w:jc w:val="both"/>
        <w:rPr/>
      </w:pPr>
      <w:bookmarkStart w:id="16" w:name="_Ref373242766"/>
      <w:bookmarkStart w:id="17" w:name="_Ref373242755_Копия_1"/>
      <w:bookmarkStart w:id="18" w:name="_Ref361335023"/>
      <w:bookmarkEnd w:id="17"/>
      <w:bookmarkEnd w:id="18"/>
      <w:r>
        <w:rPr/>
        <w:t>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w:t>
      </w:r>
      <w:bookmarkEnd w:id="16"/>
    </w:p>
    <w:p>
      <w:pPr>
        <w:pStyle w:val="ListParagraph"/>
        <w:numPr>
          <w:ilvl w:val="2"/>
          <w:numId w:val="4"/>
        </w:numPr>
        <w:shd w:val="clear" w:color="auto" w:fill="FFFFFF"/>
        <w:tabs>
          <w:tab w:val="clear" w:pos="709"/>
          <w:tab w:val="left" w:pos="1418" w:leader="none"/>
        </w:tabs>
        <w:ind w:left="0" w:firstLine="709"/>
        <w:jc w:val="both"/>
        <w:rPr/>
      </w:pPr>
      <w:bookmarkStart w:id="19" w:name="_Ref373242949"/>
      <w:r>
        <w:rPr/>
        <w:t>Последующие платежи в размере 70 (семидесяти) процентов от стоимости Оборудования выплачиваются в течение 7 (семи) рабочих дней с даты подписания Сторонами Накладной ТОРГ-12/УПД, на основании счёта, выставленного Подрядчиком.</w:t>
      </w:r>
      <w:bookmarkEnd w:id="19"/>
    </w:p>
    <w:p>
      <w:pPr>
        <w:pStyle w:val="ListParagraph"/>
        <w:numPr>
          <w:ilvl w:val="2"/>
          <w:numId w:val="4"/>
        </w:numPr>
        <w:shd w:val="clear" w:color="auto" w:fill="FFFFFF"/>
        <w:tabs>
          <w:tab w:val="clear" w:pos="709"/>
          <w:tab w:val="left" w:pos="1418" w:leader="none"/>
        </w:tabs>
        <w:ind w:left="0" w:firstLine="709"/>
        <w:jc w:val="both"/>
        <w:rPr/>
      </w:pPr>
      <w:r>
        <w:rPr/>
        <w:t xml:space="preserve">Последующие платежи в размере 90 (девяноста) процентов от стоимости каждого Этапа Работ выплачиваются в течение 7 (семи) рабочих дней с даты подписания Сторонами документов, указанных в пункте 5.2 Договора, на основании счёта, выставленного Подрядчиком. </w:t>
      </w:r>
    </w:p>
    <w:p>
      <w:pPr>
        <w:pStyle w:val="ListParagraph"/>
        <w:shd w:val="clear" w:color="auto" w:fill="FFFFFF"/>
        <w:ind w:left="0" w:hanging="0"/>
        <w:jc w:val="both"/>
        <w:rPr/>
      </w:pPr>
      <w:r>
        <w:rPr/>
        <w:tab/>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2"/>
          <w:numId w:val="4"/>
        </w:numPr>
        <w:shd w:val="clear" w:color="auto" w:fill="FFFFFF"/>
        <w:tabs>
          <w:tab w:val="clear" w:pos="709"/>
          <w:tab w:val="left" w:pos="1418" w:leader="none"/>
        </w:tabs>
        <w:ind w:left="0" w:firstLine="709"/>
        <w:jc w:val="both"/>
        <w:rPr/>
      </w:pPr>
      <w:bookmarkStart w:id="20"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20"/>
    </w:p>
    <w:p>
      <w:pPr>
        <w:pStyle w:val="ListParagraph"/>
        <w:numPr>
          <w:ilvl w:val="1"/>
          <w:numId w:val="4"/>
        </w:numPr>
        <w:shd w:val="clear" w:color="auto" w:fill="FFFFFF"/>
        <w:tabs>
          <w:tab w:val="clear" w:pos="709"/>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9"/>
          <w:tab w:val="left" w:pos="1134" w:leader="none"/>
        </w:tabs>
        <w:ind w:left="0" w:firstLine="709"/>
        <w:jc w:val="both"/>
        <w:rPr>
          <w:bCs/>
        </w:rPr>
      </w:pPr>
      <w:r>
        <w:rPr/>
        <w:t>Оплата непредвиденных работ и затрат осуществляется Заказчиком в следующем порядке</w:t>
      </w:r>
      <w:r>
        <w:rPr>
          <w:bCs/>
        </w:rPr>
        <w:t>:</w:t>
      </w:r>
    </w:p>
    <w:p>
      <w:pPr>
        <w:pStyle w:val="ListParagraph"/>
        <w:numPr>
          <w:ilvl w:val="2"/>
          <w:numId w:val="4"/>
        </w:numPr>
        <w:shd w:val="clear" w:color="auto" w:fill="FFFFFF"/>
        <w:tabs>
          <w:tab w:val="clear" w:pos="709"/>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5.2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5.2 Договора.</w:t>
      </w:r>
    </w:p>
    <w:p>
      <w:pPr>
        <w:pStyle w:val="ListParagraph"/>
        <w:shd w:val="clear" w:color="auto" w:fill="FFFFFF"/>
        <w:tabs>
          <w:tab w:val="clear" w:pos="709"/>
          <w:tab w:val="left" w:pos="1418" w:leader="none"/>
        </w:tabs>
        <w:ind w:left="0" w:firstLine="709"/>
        <w:jc w:val="both"/>
        <w:rPr/>
      </w:pPr>
      <w:r>
        <w:rPr/>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pPr>
        <w:pStyle w:val="ListParagraph"/>
        <w:numPr>
          <w:ilvl w:val="1"/>
          <w:numId w:val="4"/>
        </w:numPr>
        <w:shd w:val="clear" w:color="auto" w:fill="FFFFFF"/>
        <w:tabs>
          <w:tab w:val="clear" w:pos="709"/>
          <w:tab w:val="left" w:pos="1134" w:leader="none"/>
        </w:tabs>
        <w:ind w:left="0" w:firstLine="709"/>
        <w:jc w:val="both"/>
        <w:rPr/>
      </w:pPr>
      <w:r>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w:t>
        <w:br/>
        <w:t>в гостинице и авансовые отчеты.</w:t>
      </w:r>
    </w:p>
    <w:p>
      <w:pPr>
        <w:pStyle w:val="ListParagraph"/>
        <w:numPr>
          <w:ilvl w:val="1"/>
          <w:numId w:val="4"/>
        </w:numPr>
        <w:shd w:val="clear" w:color="auto" w:fill="FFFFFF"/>
        <w:tabs>
          <w:tab w:val="clear" w:pos="709"/>
          <w:tab w:val="left" w:pos="1134" w:leader="none"/>
        </w:tabs>
        <w:ind w:left="0" w:firstLine="709"/>
        <w:jc w:val="both"/>
        <w:rPr>
          <w:bCs/>
        </w:rPr>
      </w:pPr>
      <w:bookmarkStart w:id="21" w:name="_Ref361335023_Копия_1"/>
      <w:bookmarkEnd w:id="21"/>
      <w:r>
        <w:rPr>
          <w:bCs/>
        </w:rPr>
        <w:t>Индексация Цены Договора не допускается.</w:t>
      </w:r>
    </w:p>
    <w:p>
      <w:pPr>
        <w:pStyle w:val="ListParagraph"/>
        <w:numPr>
          <w:ilvl w:val="1"/>
          <w:numId w:val="4"/>
        </w:numPr>
        <w:shd w:val="clear" w:color="auto" w:fill="FFFFFF"/>
        <w:tabs>
          <w:tab w:val="clear" w:pos="709"/>
          <w:tab w:val="left" w:pos="1134" w:leader="none"/>
        </w:tabs>
        <w:ind w:left="0" w:firstLine="709"/>
        <w:jc w:val="both"/>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9"/>
          <w:tab w:val="left" w:pos="1134" w:leader="none"/>
        </w:tabs>
        <w:ind w:left="0" w:firstLine="709"/>
        <w:jc w:val="both"/>
        <w:rPr/>
      </w:pPr>
      <w:bookmarkStart w:id="22" w:name="_Ref361834251"/>
      <w:r>
        <w:rPr/>
        <w:t>Заказчик направляет Подрядчику уведомление о проведении сальдо взаимных обязательств Сторон по Договору.</w:t>
      </w:r>
      <w:bookmarkEnd w:id="22"/>
    </w:p>
    <w:p>
      <w:pPr>
        <w:pStyle w:val="ListParagraph"/>
        <w:shd w:val="clear" w:color="auto" w:fill="FFFFFF"/>
        <w:tabs>
          <w:tab w:val="clear" w:pos="709"/>
          <w:tab w:val="left" w:pos="1134" w:leader="none"/>
        </w:tabs>
        <w:ind w:left="0" w:firstLine="567"/>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Порядок сдачи-приемки Работ</w:t>
      </w:r>
    </w:p>
    <w:p>
      <w:pPr>
        <w:pStyle w:val="ListParagraph"/>
        <w:numPr>
          <w:ilvl w:val="1"/>
          <w:numId w:val="4"/>
        </w:numPr>
        <w:shd w:val="clear" w:color="auto" w:fill="FFFFFF"/>
        <w:tabs>
          <w:tab w:val="left" w:pos="709" w:leader="none"/>
          <w:tab w:val="left" w:pos="1134" w:leader="none"/>
        </w:tabs>
        <w:ind w:left="0" w:firstLine="709"/>
        <w:jc w:val="both"/>
        <w:rPr/>
      </w:pPr>
      <w:bookmarkStart w:id="23" w:name="_Ref361336754"/>
      <w:bookmarkStart w:id="24" w:name="_Ref361335138"/>
      <w:bookmarkStart w:id="25" w:name="_Ref373242517"/>
      <w:r>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3"/>
      <w:bookmarkEnd w:id="24"/>
      <w:bookmarkEnd w:id="25"/>
    </w:p>
    <w:p>
      <w:pPr>
        <w:pStyle w:val="ListParagraph"/>
        <w:numPr>
          <w:ilvl w:val="1"/>
          <w:numId w:val="4"/>
        </w:numPr>
        <w:shd w:val="clear" w:color="auto" w:fill="FFFFFF"/>
        <w:tabs>
          <w:tab w:val="clear" w:pos="709"/>
          <w:tab w:val="left" w:pos="1134" w:leader="none"/>
        </w:tabs>
        <w:ind w:left="0" w:firstLine="709"/>
        <w:jc w:val="both"/>
        <w:rPr/>
      </w:pPr>
      <w:bookmarkStart w:id="26"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9"/>
        </w:numPr>
        <w:shd w:val="clear" w:color="auto" w:fill="FFFFFF"/>
        <w:tabs>
          <w:tab w:val="clear" w:pos="709"/>
          <w:tab w:val="left" w:pos="1418"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а также электронные версии Акта </w:t>
        <w:br/>
        <w:t xml:space="preserve">КС-2 и Справки КС-3 в формате *gsfx ПК «ГРАНД Сметы» на цифровом носителе; </w:t>
      </w:r>
    </w:p>
    <w:p>
      <w:pPr>
        <w:pStyle w:val="ListParagraph"/>
        <w:numPr>
          <w:ilvl w:val="0"/>
          <w:numId w:val="19"/>
        </w:numPr>
        <w:shd w:val="clear" w:color="auto" w:fill="FFFFFF"/>
        <w:tabs>
          <w:tab w:val="clear" w:pos="709"/>
          <w:tab w:val="left" w:pos="1418" w:leader="none"/>
        </w:tabs>
        <w:ind w:left="0" w:firstLine="709"/>
        <w:jc w:val="both"/>
        <w:rPr/>
      </w:pPr>
      <w:r>
        <w:rPr>
          <w:bCs/>
        </w:rPr>
        <w:t xml:space="preserve">Приемо-сдаточная и Исполнительная документация </w:t>
      </w:r>
      <w:r>
        <w:rPr/>
        <w:t>в 3 (трех) экземплярах;</w:t>
      </w:r>
      <w:r>
        <w:rPr>
          <w:highlight w:val="yellow"/>
        </w:rPr>
        <w:t xml:space="preserve"> </w:t>
      </w:r>
    </w:p>
    <w:p>
      <w:pPr>
        <w:pStyle w:val="ListParagraph"/>
        <w:numPr>
          <w:ilvl w:val="0"/>
          <w:numId w:val="19"/>
        </w:numPr>
        <w:shd w:val="clear" w:color="auto" w:fill="FFFFFF"/>
        <w:tabs>
          <w:tab w:val="clear" w:pos="709"/>
          <w:tab w:val="left" w:pos="1418" w:leader="none"/>
        </w:tabs>
        <w:ind w:left="0" w:firstLine="709"/>
        <w:jc w:val="both"/>
        <w:rPr/>
      </w:pPr>
      <w:r>
        <w:rPr>
          <w:bCs/>
        </w:rPr>
        <w:t>А</w:t>
      </w:r>
      <w:r>
        <w:rPr/>
        <w:t>кт КС-11 в 2 (двух) экземплярах;</w:t>
      </w:r>
      <w:bookmarkEnd w:id="26"/>
    </w:p>
    <w:p>
      <w:pPr>
        <w:pStyle w:val="ListParagraph"/>
        <w:numPr>
          <w:ilvl w:val="1"/>
          <w:numId w:val="4"/>
        </w:numPr>
        <w:shd w:val="clear" w:color="auto" w:fill="FFFFFF"/>
        <w:tabs>
          <w:tab w:val="clear" w:pos="709"/>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w:t>
      </w:r>
      <w:r>
        <w:rPr>
          <w:bCs/>
        </w:rPr>
        <w:fldChar w:fldCharType="begin"/>
      </w:r>
      <w:r>
        <w:rPr>
          <w:bCs/>
        </w:rPr>
        <w:instrText xml:space="preserve"> REF _Ref361335138 \r \h </w:instrText>
      </w:r>
      <w:r>
        <w:rPr>
          <w:bCs/>
        </w:rPr>
        <w:fldChar w:fldCharType="separate"/>
      </w:r>
      <w:r>
        <w:rPr>
          <w:bCs/>
        </w:rPr>
        <w:t>5.1</w:t>
      </w:r>
      <w:r>
        <w:rPr>
          <w:bCs/>
        </w:rPr>
        <w:fldChar w:fldCharType="end"/>
      </w:r>
      <w:r>
        <w:rPr>
          <w:bCs/>
        </w:rPr>
        <w:t xml:space="preserve">-5.2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4"/>
        </w:numPr>
        <w:shd w:val="clear" w:color="auto" w:fill="FFFFFF"/>
        <w:tabs>
          <w:tab w:val="clear" w:pos="709"/>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9"/>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5.2 Договора.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на Подрядчика соответствующих расходов. </w:t>
      </w:r>
    </w:p>
    <w:p>
      <w:pPr>
        <w:pStyle w:val="ListParagraph"/>
        <w:numPr>
          <w:ilvl w:val="1"/>
          <w:numId w:val="4"/>
        </w:numPr>
        <w:shd w:val="clear" w:color="auto" w:fill="FFFFFF"/>
        <w:tabs>
          <w:tab w:val="clear" w:pos="709"/>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9"/>
          <w:tab w:val="left" w:pos="1134" w:leader="none"/>
        </w:tabs>
        <w:ind w:left="0" w:firstLine="709"/>
        <w:jc w:val="both"/>
        <w:rPr>
          <w:bCs/>
        </w:rPr>
      </w:pPr>
      <w:bookmarkStart w:id="27" w:name="_Ref361337635"/>
      <w:r>
        <w:rPr>
          <w:bCs/>
        </w:rPr>
        <w:t>Подрядчик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pPr>
        <w:pStyle w:val="ListParagraph"/>
        <w:shd w:val="clear" w:color="auto" w:fill="FFFFFF"/>
        <w:tabs>
          <w:tab w:val="clear" w:pos="709"/>
          <w:tab w:val="left" w:pos="1134" w:leader="none"/>
        </w:tabs>
        <w:ind w:left="567" w:hanging="0"/>
        <w:jc w:val="both"/>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Право собственности и переход рисков</w:t>
      </w:r>
    </w:p>
    <w:p>
      <w:pPr>
        <w:pStyle w:val="ListParagraph"/>
        <w:numPr>
          <w:ilvl w:val="1"/>
          <w:numId w:val="4"/>
        </w:numPr>
        <w:shd w:val="clear" w:color="auto" w:fill="FFFFFF"/>
        <w:tabs>
          <w:tab w:val="clear" w:pos="709"/>
          <w:tab w:val="left" w:pos="1134" w:leader="none"/>
        </w:tabs>
        <w:ind w:left="0" w:firstLine="709"/>
        <w:jc w:val="both"/>
        <w:rPr>
          <w:bCs/>
        </w:rPr>
      </w:pPr>
      <w:bookmarkStart w:id="28" w:name="_Ref361405028"/>
      <w:r>
        <w:rPr>
          <w:bCs/>
        </w:rPr>
        <w:t>Риск</w:t>
      </w:r>
      <w:r>
        <w:rPr/>
        <w:t xml:space="preserve"> случайной гибели или повреждения Оборудования и</w:t>
      </w:r>
      <w:r>
        <w:rPr>
          <w:bCs/>
        </w:rPr>
        <w:t xml:space="preserve"> право собственности </w:t>
        <w:br/>
        <w:t xml:space="preserve">на Оборудование переходит к Заказчику с момента подписания Сторонами </w:t>
      </w:r>
      <w:r>
        <w:rPr/>
        <w:t xml:space="preserve">Накладной </w:t>
        <w:br/>
        <w:t>ТОРГ-12/УПД</w:t>
      </w:r>
      <w:r>
        <w:rPr>
          <w:bCs/>
        </w:rPr>
        <w:t>.</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Риск случайной гибели или повреждения Результата Работ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w:t>
      </w:r>
      <w:bookmarkStart w:id="29" w:name="_GoBack"/>
      <w:bookmarkEnd w:id="29"/>
      <w:r>
        <w:rPr>
          <w:bCs/>
        </w:rPr>
        <w:t xml:space="preserve">та Работ по Объекту, включая Оборудование </w:t>
        <w:br/>
        <w:t xml:space="preserve">(с учетом выполнения Сторонами требований, изложенных в пункте 2.15 Договора) </w:t>
        <w:br/>
        <w:t>и Материально-технические ресурсы, несет Подрядчик.</w:t>
      </w:r>
      <w:bookmarkEnd w:id="28"/>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4"/>
        </w:numPr>
        <w:shd w:val="clear" w:color="auto" w:fill="FFFFFF"/>
        <w:tabs>
          <w:tab w:val="clear" w:pos="709"/>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w:t>
        <w:br/>
        <w:t xml:space="preserve">по Объекту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Normal"/>
        <w:shd w:val="clear" w:color="auto" w:fill="FFFFFF"/>
        <w:tabs>
          <w:tab w:val="clear" w:pos="709"/>
          <w:tab w:val="left" w:pos="0" w:leader="none"/>
          <w:tab w:val="left" w:pos="1134" w:leader="none"/>
        </w:tabs>
        <w:rPr>
          <w:bCs/>
        </w:rPr>
      </w:pPr>
      <w:r>
        <w:rPr>
          <w:bCs/>
        </w:rPr>
      </w:r>
    </w:p>
    <w:p>
      <w:pPr>
        <w:pStyle w:val="ListParagraph"/>
        <w:numPr>
          <w:ilvl w:val="0"/>
          <w:numId w:val="4"/>
        </w:numPr>
        <w:shd w:val="clear" w:color="auto" w:fill="FFFFFF"/>
        <w:tabs>
          <w:tab w:val="clear" w:pos="709"/>
          <w:tab w:val="left" w:pos="284" w:leader="none"/>
        </w:tabs>
        <w:ind w:left="0" w:hanging="0"/>
        <w:jc w:val="center"/>
        <w:rPr>
          <w:b/>
          <w:bCs/>
        </w:rPr>
      </w:pPr>
      <w:r>
        <w:rPr>
          <w:b/>
          <w:bCs/>
        </w:rPr>
        <w:t>Ответственность Сторон</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w:t>
        <w:br/>
        <w:t xml:space="preserve">не предусмотрено иное. </w:t>
      </w:r>
    </w:p>
    <w:p>
      <w:pPr>
        <w:pStyle w:val="Normal"/>
        <w:numPr>
          <w:ilvl w:val="1"/>
          <w:numId w:val="4"/>
        </w:numPr>
        <w:tabs>
          <w:tab w:val="clear" w:pos="709"/>
          <w:tab w:val="left" w:pos="1134" w:leader="none"/>
        </w:tabs>
        <w:spacing w:lineRule="auto" w:line="240"/>
        <w:ind w:left="0" w:firstLine="709"/>
        <w:rPr>
          <w:bCs/>
          <w:sz w:val="24"/>
          <w:szCs w:val="24"/>
        </w:rPr>
      </w:pPr>
      <w:r>
        <w:rPr>
          <w:bCs/>
          <w:sz w:val="24"/>
          <w:szCs w:val="24"/>
        </w:rPr>
        <w:t xml:space="preserve">Заказчик не несет ответственность за ненадлежащее исполнение обязательств </w:t>
        <w:br/>
        <w:t xml:space="preserve">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w:t>
        <w:br/>
        <w:t>по Договору при условии предварительного письменного уведомления Заказчика о таком приостановлении.</w:t>
      </w:r>
    </w:p>
    <w:p>
      <w:pPr>
        <w:pStyle w:val="Normal"/>
        <w:numPr>
          <w:ilvl w:val="1"/>
          <w:numId w:val="4"/>
        </w:numPr>
        <w:tabs>
          <w:tab w:val="clear" w:pos="709"/>
          <w:tab w:val="left" w:pos="1134" w:leader="none"/>
        </w:tabs>
        <w:spacing w:lineRule="auto" w:line="240"/>
        <w:ind w:left="0" w:firstLine="709"/>
        <w:rPr>
          <w:bCs/>
          <w:sz w:val="24"/>
          <w:szCs w:val="24"/>
        </w:rPr>
      </w:pPr>
      <w:r>
        <w:rPr>
          <w:rFonts w:eastAsia="Calibri"/>
          <w:bCs/>
          <w:sz w:val="24"/>
          <w:szCs w:val="24"/>
        </w:rPr>
        <w:t>В случае нарушения Заказчиком сроков оплаты, установленных разделом 4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w:t>
      </w:r>
      <w:r>
        <w:rPr>
          <w:bCs/>
          <w:sz w:val="24"/>
          <w:szCs w:val="24"/>
        </w:rPr>
        <w:t>.</w:t>
      </w:r>
    </w:p>
    <w:p>
      <w:pPr>
        <w:pStyle w:val="Normal"/>
        <w:numPr>
          <w:ilvl w:val="1"/>
          <w:numId w:val="4"/>
        </w:numPr>
        <w:tabs>
          <w:tab w:val="clear" w:pos="709"/>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поставке Оборудования (</w:t>
      </w:r>
      <w:r>
        <w:rPr>
          <w:rFonts w:eastAsia="Calibri"/>
          <w:bCs/>
          <w:sz w:val="24"/>
          <w:szCs w:val="24"/>
        </w:rPr>
        <w:t>нарушение срока поставки, недопоставка)</w:t>
      </w:r>
      <w:r>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Оборудования/Результата Работ, Заказчик вправе требовать уплаты Подрядчиком:</w:t>
      </w:r>
    </w:p>
    <w:p>
      <w:pPr>
        <w:pStyle w:val="ListParagraph"/>
        <w:numPr>
          <w:ilvl w:val="2"/>
          <w:numId w:val="4"/>
        </w:numPr>
        <w:tabs>
          <w:tab w:val="clear" w:pos="709"/>
          <w:tab w:val="left" w:pos="1134" w:leader="none"/>
        </w:tabs>
        <w:ind w:left="0" w:firstLine="709"/>
        <w:jc w:val="both"/>
        <w:rPr>
          <w:bCs/>
        </w:rPr>
      </w:pPr>
      <w:r>
        <w:rPr>
          <w:bCs/>
        </w:rPr>
        <w:t xml:space="preserve">Неустойки в размере </w:t>
      </w:r>
      <w:r>
        <w:rPr>
          <w:rFonts w:eastAsia="Calibri"/>
          <w:bCs/>
        </w:rPr>
        <w:t xml:space="preserve">0,1 (ноль целых и одна десятая) </w:t>
      </w:r>
      <w:r>
        <w:rPr>
          <w:bCs/>
        </w:rPr>
        <w:t xml:space="preserve">процента от цены </w:t>
      </w:r>
      <w:r>
        <w:rPr>
          <w:rFonts w:eastAsia="Calibri"/>
          <w:bCs/>
        </w:rPr>
        <w:t>Оборудования/Этапа Работ</w:t>
      </w:r>
      <w:r>
        <w:rPr>
          <w:bCs/>
        </w:rPr>
        <w:t xml:space="preserve"> за каждый день просрочки;</w:t>
      </w:r>
    </w:p>
    <w:p>
      <w:pPr>
        <w:pStyle w:val="ListParagraph"/>
        <w:numPr>
          <w:ilvl w:val="2"/>
          <w:numId w:val="4"/>
        </w:numPr>
        <w:tabs>
          <w:tab w:val="clear" w:pos="709"/>
          <w:tab w:val="left" w:pos="1134" w:leader="none"/>
        </w:tabs>
        <w:ind w:left="0" w:firstLine="709"/>
        <w:jc w:val="both"/>
        <w:rPr>
          <w:bCs/>
        </w:rPr>
      </w:pPr>
      <w:r>
        <w:rPr>
          <w:bCs/>
        </w:rPr>
        <w:t xml:space="preserve">Неустойки в размере 0,1 </w:t>
      </w:r>
      <w:r>
        <w:rPr/>
        <w:t>(ноль целых и одна десятая) процента</w:t>
      </w:r>
      <w:r>
        <w:rPr>
          <w:bCs/>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Pr>
          <w:rFonts w:eastAsia="Calibri"/>
          <w:bCs/>
        </w:rPr>
        <w:t>по Договору</w:t>
      </w:r>
      <w:r>
        <w:rPr>
          <w:bCs/>
        </w:rPr>
        <w:t xml:space="preserve">; </w:t>
      </w:r>
    </w:p>
    <w:p>
      <w:pPr>
        <w:pStyle w:val="ListParagraph"/>
        <w:numPr>
          <w:ilvl w:val="2"/>
          <w:numId w:val="4"/>
        </w:numPr>
        <w:tabs>
          <w:tab w:val="clear" w:pos="709"/>
          <w:tab w:val="left" w:pos="1134" w:leader="none"/>
        </w:tabs>
        <w:ind w:left="0" w:firstLine="709"/>
        <w:jc w:val="both"/>
        <w:rPr>
          <w:bCs/>
        </w:rPr>
      </w:pPr>
      <w:r>
        <w:rPr>
          <w:bCs/>
        </w:rPr>
        <w:t xml:space="preserve">Неустойки в размере 0,1 </w:t>
      </w:r>
      <w:r>
        <w:rPr/>
        <w:t>(ноль целых и одна десятая) процента</w:t>
      </w:r>
      <w:r>
        <w:rPr>
          <w:bCs/>
        </w:rPr>
        <w:t xml:space="preserve"> от стоимости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Pr>
          <w:rFonts w:eastAsia="Calibri"/>
          <w:bCs/>
        </w:rPr>
        <w:t>по Договору</w:t>
      </w:r>
      <w:r>
        <w:rPr>
          <w:bCs/>
        </w:rPr>
        <w:t>.</w:t>
      </w:r>
    </w:p>
    <w:p>
      <w:pPr>
        <w:pStyle w:val="ListParagraph"/>
        <w:numPr>
          <w:ilvl w:val="1"/>
          <w:numId w:val="4"/>
        </w:numPr>
        <w:tabs>
          <w:tab w:val="clear" w:pos="709"/>
          <w:tab w:val="left" w:pos="1134" w:leader="none"/>
          <w:tab w:val="left" w:pos="1701" w:leader="none"/>
        </w:tabs>
        <w:ind w:left="0" w:firstLine="709"/>
        <w:jc w:val="both"/>
        <w:rPr/>
      </w:pPr>
      <w:r>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t>.</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Если в результате составления и выставления Подрядчиком счетов-фактур/УПД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 пунктом 5.8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4"/>
        </w:numPr>
        <w:shd w:val="clear" w:color="auto" w:fill="FFFFFF"/>
        <w:tabs>
          <w:tab w:val="clear" w:pos="709"/>
          <w:tab w:val="left" w:pos="1134" w:leader="none"/>
        </w:tabs>
        <w:ind w:left="0" w:firstLine="709"/>
        <w:jc w:val="both"/>
        <w:rPr/>
      </w:pPr>
      <w:r>
        <w:rPr/>
        <w:t xml:space="preserve">В случае нарушения Подрядчиком сроков </w:t>
      </w:r>
      <w:r>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Pr/>
        <w:t xml:space="preserve">Заказчик вправе требовать уплаты Подрядчиком </w:t>
      </w:r>
      <w:r>
        <w:rPr>
          <w:color w:val="000000"/>
        </w:rPr>
        <w:t>неустойки</w:t>
      </w:r>
      <w:r>
        <w:rPr/>
        <w:t xml:space="preserve"> в размере </w:t>
      </w:r>
      <w:r>
        <w:rPr>
          <w:color w:val="000000"/>
        </w:rPr>
        <w:t>0,05 (ноль целых пять сотых) процента от Цены Договора</w:t>
      </w:r>
      <w:r>
        <w:rPr/>
        <w:t xml:space="preserve"> за каждый </w:t>
      </w:r>
      <w:r>
        <w:rPr>
          <w:color w:val="000000"/>
        </w:rPr>
        <w:t>день просрочки.</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4"/>
        </w:numPr>
        <w:shd w:val="clear" w:color="auto" w:fill="FFFFFF"/>
        <w:tabs>
          <w:tab w:val="clear" w:pos="709"/>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9"/>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rPr>
      </w:pPr>
      <w:r>
        <w:rPr>
          <w:b/>
          <w:color w:val="000000"/>
          <w:sz w:val="24"/>
          <w:szCs w:val="24"/>
        </w:rPr>
      </w:r>
    </w:p>
    <w:p>
      <w:pPr>
        <w:pStyle w:val="ListParagraph"/>
        <w:numPr>
          <w:ilvl w:val="0"/>
          <w:numId w:val="4"/>
        </w:numPr>
        <w:shd w:val="clear" w:color="auto" w:fill="FFFFFF"/>
        <w:tabs>
          <w:tab w:val="clear" w:pos="709"/>
          <w:tab w:val="left" w:pos="284" w:leader="none"/>
        </w:tabs>
        <w:ind w:left="0" w:hanging="0"/>
        <w:jc w:val="center"/>
        <w:rPr>
          <w:b/>
          <w:bCs/>
        </w:rPr>
      </w:pPr>
      <w:r>
        <w:rPr>
          <w:b/>
          <w:bCs/>
        </w:rPr>
        <w:t>Гарантии качества Результата Работ</w:t>
      </w:r>
    </w:p>
    <w:p>
      <w:pPr>
        <w:pStyle w:val="Normal"/>
        <w:numPr>
          <w:ilvl w:val="1"/>
          <w:numId w:val="4"/>
        </w:numPr>
        <w:tabs>
          <w:tab w:val="clear" w:pos="709"/>
          <w:tab w:val="left" w:pos="1134" w:leader="none"/>
        </w:tabs>
        <w:spacing w:lineRule="auto" w:line="240"/>
        <w:ind w:left="0" w:firstLine="709"/>
        <w:rPr>
          <w:bCs/>
          <w:sz w:val="24"/>
          <w:szCs w:val="24"/>
        </w:rPr>
      </w:pPr>
      <w:bookmarkStart w:id="30" w:name="_Ref361337777"/>
      <w:r>
        <w:rPr>
          <w:sz w:val="24"/>
          <w:szCs w:val="24"/>
        </w:rPr>
        <w:t>Гарантийный</w:t>
      </w:r>
      <w:r>
        <w:rPr>
          <w:bCs/>
          <w:sz w:val="24"/>
          <w:szCs w:val="24"/>
        </w:rPr>
        <w:t xml:space="preserve"> срок по Договору составляет </w:t>
      </w:r>
      <w:r>
        <w:rPr>
          <w:sz w:val="24"/>
          <w:szCs w:val="24"/>
        </w:rPr>
        <w:t xml:space="preserve">____ </w:t>
      </w:r>
      <w:r>
        <w:rPr>
          <w:bCs/>
          <w:sz w:val="24"/>
          <w:szCs w:val="24"/>
        </w:rPr>
        <w:t>(____________)</w:t>
      </w:r>
      <w:r>
        <w:rPr>
          <w:sz w:val="24"/>
          <w:szCs w:val="24"/>
        </w:rPr>
        <w:t xml:space="preserve"> месяцев</w:t>
      </w:r>
      <w:r>
        <w:rPr>
          <w:bCs/>
          <w:sz w:val="24"/>
          <w:szCs w:val="24"/>
        </w:rPr>
        <w:t xml:space="preserve"> </w:t>
        <w:br/>
        <w:t>и начинает течь с даты подписания Сторонами А</w:t>
      </w:r>
      <w:r>
        <w:rPr>
          <w:sz w:val="24"/>
          <w:szCs w:val="24"/>
        </w:rPr>
        <w:t>кта КС-11</w:t>
      </w:r>
      <w:r>
        <w:rPr>
          <w:bCs/>
          <w:sz w:val="24"/>
          <w:szCs w:val="24"/>
        </w:rPr>
        <w:t xml:space="preserve"> </w:t>
      </w:r>
      <w:bookmarkEnd w:id="30"/>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4"/>
        </w:numPr>
        <w:shd w:val="clear" w:color="auto" w:fill="FFFFFF"/>
        <w:tabs>
          <w:tab w:val="clear" w:pos="709"/>
          <w:tab w:val="left" w:pos="568" w:leader="none"/>
          <w:tab w:val="left" w:pos="1134" w:leader="none"/>
        </w:tabs>
        <w:ind w:left="0" w:firstLine="709"/>
        <w:jc w:val="both"/>
        <w:rPr>
          <w:bCs/>
        </w:rPr>
      </w:pPr>
      <w:r>
        <w:rPr>
          <w:bCs/>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pPr>
        <w:pStyle w:val="ListParagraph"/>
        <w:numPr>
          <w:ilvl w:val="1"/>
          <w:numId w:val="4"/>
        </w:numPr>
        <w:shd w:val="clear" w:color="auto" w:fill="FFFFFF"/>
        <w:tabs>
          <w:tab w:val="clear" w:pos="709"/>
          <w:tab w:val="left" w:pos="1134" w:leader="none"/>
        </w:tabs>
        <w:ind w:left="0" w:firstLine="709"/>
        <w:jc w:val="both"/>
        <w:rPr>
          <w:bCs/>
        </w:rPr>
      </w:pPr>
      <w:bookmarkStart w:id="31" w:name="_Ref361337764"/>
      <w:r>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w:t>
        <w:br/>
        <w:t xml:space="preserve">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31"/>
      <w:r>
        <w:rPr>
          <w:bCs/>
        </w:rPr>
        <w:t xml:space="preserve"> </w:t>
      </w:r>
    </w:p>
    <w:p>
      <w:pPr>
        <w:pStyle w:val="ListParagraph"/>
        <w:numPr>
          <w:ilvl w:val="1"/>
          <w:numId w:val="4"/>
        </w:numPr>
        <w:shd w:val="clear" w:color="auto" w:fill="FFFFFF"/>
        <w:tabs>
          <w:tab w:val="clear" w:pos="709"/>
          <w:tab w:val="left" w:pos="1134" w:leader="none"/>
        </w:tabs>
        <w:ind w:left="0" w:firstLine="709"/>
        <w:jc w:val="both"/>
        <w:rPr>
          <w:bCs/>
        </w:rPr>
      </w:pPr>
      <w:r>
        <w:rPr>
          <w:bCs/>
        </w:rPr>
        <w:t>Наличие и полный перечень недостатков,</w:t>
      </w:r>
      <w:r>
        <w:rPr/>
        <w:t xml:space="preserve"> </w:t>
      </w:r>
      <w:r>
        <w:rPr>
          <w:bCs/>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4"/>
        </w:numPr>
        <w:shd w:val="clear" w:color="auto" w:fill="FFFFFF"/>
        <w:tabs>
          <w:tab w:val="clear" w:pos="709"/>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32" w:name="OLE_LINK6"/>
      <w:bookmarkStart w:id="33" w:name="OLE_LINK5"/>
      <w:r>
        <w:rPr>
          <w:bCs/>
        </w:rPr>
        <w:t>Акте о недостатках, составленном в порядке, установленном пунктом 8.5 Договора</w:t>
      </w:r>
      <w:bookmarkEnd w:id="32"/>
      <w:bookmarkEnd w:id="33"/>
      <w:r>
        <w:rPr>
          <w:bCs/>
        </w:rPr>
        <w:t>.</w:t>
      </w:r>
      <w:r>
        <w:rPr/>
        <w:t xml:space="preserve">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4"/>
        </w:numPr>
        <w:shd w:val="clear" w:color="auto" w:fill="FFFFFF"/>
        <w:tabs>
          <w:tab w:val="clear" w:pos="709"/>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9"/>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9"/>
          <w:tab w:val="left" w:pos="426" w:leader="none"/>
        </w:tabs>
        <w:ind w:left="0" w:hanging="0"/>
        <w:jc w:val="center"/>
        <w:rPr>
          <w:b/>
          <w:bCs/>
        </w:rPr>
      </w:pPr>
      <w:r>
        <w:rPr>
          <w:b/>
          <w:bCs/>
        </w:rPr>
        <w:t>Исключительные права и патенты</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w:t>
        <w:br/>
        <w:t xml:space="preserve">возникают непосредственно у Заказчика, либо, если в соответствии </w:t>
        <w:br/>
        <w:t xml:space="preserve">с законодательством Российской Федерации такие исключительные права возникают </w:t>
        <w:br/>
        <w:t>у Подрядчика,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9"/>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9"/>
          <w:tab w:val="left" w:pos="1134" w:leader="none"/>
        </w:tabs>
        <w:ind w:left="709" w:hanging="0"/>
        <w:jc w:val="both"/>
        <w:rPr>
          <w:bCs/>
        </w:rPr>
      </w:pPr>
      <w:r>
        <w:rPr>
          <w:bCs/>
        </w:rPr>
      </w:r>
    </w:p>
    <w:p>
      <w:pPr>
        <w:pStyle w:val="ListParagraph"/>
        <w:numPr>
          <w:ilvl w:val="0"/>
          <w:numId w:val="4"/>
        </w:numPr>
        <w:shd w:val="clear" w:color="auto" w:fill="FFFFFF"/>
        <w:tabs>
          <w:tab w:val="clear" w:pos="709"/>
          <w:tab w:val="left" w:pos="426" w:leader="none"/>
        </w:tabs>
        <w:ind w:left="0" w:hanging="0"/>
        <w:jc w:val="center"/>
        <w:rPr>
          <w:b/>
          <w:bCs/>
        </w:rPr>
      </w:pPr>
      <w:r>
        <w:rPr>
          <w:b/>
          <w:bCs/>
        </w:rPr>
        <w:t>Конфиденциальность</w:t>
      </w:r>
    </w:p>
    <w:p>
      <w:pPr>
        <w:pStyle w:val="ListParagraph"/>
        <w:numPr>
          <w:ilvl w:val="1"/>
          <w:numId w:val="4"/>
        </w:numPr>
        <w:shd w:val="clear" w:color="auto" w:fill="FFFFFF"/>
        <w:tabs>
          <w:tab w:val="clear" w:pos="709"/>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left" w:pos="709" w:leader="none"/>
          <w:tab w:val="left" w:pos="1418" w:leader="none"/>
        </w:tabs>
        <w:spacing w:lineRule="auto" w:line="240"/>
        <w:ind w:left="0" w:firstLine="709"/>
        <w:rPr>
          <w:bCs/>
          <w:sz w:val="24"/>
          <w:szCs w:val="24"/>
        </w:rPr>
      </w:pPr>
      <w:r>
        <w:rPr>
          <w:bCs/>
          <w:sz w:val="24"/>
          <w:szCs w:val="24"/>
        </w:rPr>
        <w:t xml:space="preserve">данная Информация не относится к категории общедоступной или обязательной </w:t>
        <w:br/>
        <w:t>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9"/>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9"/>
          <w:tab w:val="left" w:pos="1134" w:leader="none"/>
        </w:tabs>
        <w:ind w:left="0" w:firstLine="709"/>
        <w:jc w:val="both"/>
        <w:rPr>
          <w:bCs/>
        </w:rPr>
      </w:pPr>
      <w:bookmarkStart w:id="34"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4"/>
      <w:r>
        <w:rPr>
          <w:bCs/>
        </w:rPr>
        <w:t xml:space="preserve"> </w:t>
      </w:r>
    </w:p>
    <w:p>
      <w:pPr>
        <w:pStyle w:val="ListParagraph"/>
        <w:numPr>
          <w:ilvl w:val="2"/>
          <w:numId w:val="4"/>
        </w:numPr>
        <w:shd w:val="clear" w:color="auto" w:fill="FFFFFF"/>
        <w:tabs>
          <w:tab w:val="clear" w:pos="709"/>
          <w:tab w:val="left" w:pos="1701" w:leader="none"/>
        </w:tabs>
        <w:ind w:left="0" w:firstLine="709"/>
        <w:jc w:val="both"/>
        <w:rPr>
          <w:bCs/>
        </w:rPr>
      </w:pPr>
      <w:r>
        <w:rPr>
          <w:bCs/>
        </w:rPr>
        <w:t xml:space="preserve">Не разглашать, не обсуждать содержание, не предоставлять копий, </w:t>
        <w:br/>
        <w:t>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4"/>
        </w:numPr>
        <w:shd w:val="clear" w:color="auto" w:fill="FFFFFF"/>
        <w:tabs>
          <w:tab w:val="clear" w:pos="709"/>
          <w:tab w:val="left" w:pos="1701" w:leader="none"/>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4"/>
        </w:numPr>
        <w:shd w:val="clear" w:color="auto" w:fill="FFFFFF"/>
        <w:tabs>
          <w:tab w:val="clear" w:pos="709"/>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9"/>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9"/>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9"/>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9"/>
          <w:tab w:val="left" w:pos="1701" w:leader="none"/>
        </w:tabs>
        <w:ind w:left="0" w:firstLine="709"/>
        <w:jc w:val="both"/>
        <w:rPr>
          <w:bCs/>
        </w:rPr>
      </w:pPr>
      <w:bookmarkStart w:id="35" w:name="_Ref3613378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w:t>
        <w:br/>
        <w:t>как за свои собственные.</w:t>
      </w:r>
      <w:bookmarkEnd w:id="35"/>
    </w:p>
    <w:p>
      <w:pPr>
        <w:pStyle w:val="ListParagraph"/>
        <w:numPr>
          <w:ilvl w:val="2"/>
          <w:numId w:val="4"/>
        </w:numPr>
        <w:shd w:val="clear" w:color="auto" w:fill="FFFFFF"/>
        <w:tabs>
          <w:tab w:val="clear" w:pos="709"/>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9"/>
          <w:tab w:val="left" w:pos="1134" w:leader="none"/>
        </w:tabs>
        <w:ind w:left="0" w:firstLine="709"/>
        <w:jc w:val="both"/>
        <w:rPr>
          <w:bCs/>
        </w:rPr>
      </w:pPr>
      <w:bookmarkStart w:id="36"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bookmarkEnd w:id="36"/>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1418" w:leader="none"/>
        </w:tabs>
        <w:ind w:left="0" w:firstLine="851"/>
        <w:jc w:val="both"/>
        <w:rPr/>
      </w:pPr>
      <w:r>
        <w:rPr/>
      </w:r>
    </w:p>
    <w:p>
      <w:pPr>
        <w:pStyle w:val="ListParagraph"/>
        <w:numPr>
          <w:ilvl w:val="0"/>
          <w:numId w:val="4"/>
        </w:numPr>
        <w:shd w:val="clear" w:color="auto" w:fill="FFFFFF"/>
        <w:tabs>
          <w:tab w:val="clear" w:pos="709"/>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Споры, указанные в пункте 1</w:t>
      </w:r>
      <w:r>
        <w:rPr>
          <w:bCs/>
        </w:rPr>
        <w:t>1</w:t>
      </w:r>
      <w:r>
        <w:rPr>
          <w:bCs/>
        </w:rPr>
        <w:t>.1 Договора, которые не были урегулированы Сторонами путем переговоров, подлежат разрешению в Арбитражном суде Новосибирской области в соответствии с законодательством Российской Федерации</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w:t>
        <w:br/>
        <w:t>в порядке, предусмотренном пунктом 1</w:t>
      </w:r>
      <w:r>
        <w:rPr>
          <w:bCs/>
          <w:lang w:val="en-US"/>
        </w:rPr>
        <w:t>7</w:t>
      </w:r>
      <w:r>
        <w:rPr>
          <w:bCs/>
        </w:rPr>
        <w:t>.7 Договора.</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4"/>
        </w:numPr>
        <w:shd w:val="clear" w:color="auto" w:fill="FFFFFF"/>
        <w:tabs>
          <w:tab w:val="clear" w:pos="709"/>
          <w:tab w:val="left" w:pos="1134" w:leader="none"/>
          <w:tab w:val="left" w:pos="1418" w:leader="none"/>
        </w:tabs>
        <w:ind w:left="0" w:firstLine="709"/>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134" w:leader="none"/>
          <w:tab w:val="left" w:pos="1418" w:leader="none"/>
        </w:tabs>
        <w:ind w:left="709" w:hanging="0"/>
        <w:jc w:val="both"/>
        <w:rPr>
          <w:bCs/>
        </w:rPr>
      </w:pPr>
      <w:r>
        <w:rPr>
          <w:bCs/>
        </w:rPr>
      </w:r>
    </w:p>
    <w:p>
      <w:pPr>
        <w:pStyle w:val="ListParagraph"/>
        <w:numPr>
          <w:ilvl w:val="0"/>
          <w:numId w:val="4"/>
        </w:numPr>
        <w:shd w:val="clear" w:color="auto" w:fill="FFFFFF"/>
        <w:tabs>
          <w:tab w:val="clear" w:pos="709"/>
          <w:tab w:val="left" w:pos="426" w:leader="none"/>
        </w:tabs>
        <w:ind w:left="0" w:hanging="0"/>
        <w:jc w:val="center"/>
        <w:rPr>
          <w:b/>
          <w:bCs/>
        </w:rPr>
      </w:pPr>
      <w:r>
        <w:rPr>
          <w:b/>
          <w:bCs/>
        </w:rPr>
        <w:t>Антикоррупционная оговорка</w:t>
      </w:r>
    </w:p>
    <w:p>
      <w:pPr>
        <w:pStyle w:val="ListParagraph"/>
        <w:numPr>
          <w:ilvl w:val="1"/>
          <w:numId w:val="4"/>
        </w:numPr>
        <w:shd w:val="clear" w:color="auto" w:fill="FFFFFF"/>
        <w:tabs>
          <w:tab w:val="clear" w:pos="709"/>
          <w:tab w:val="left" w:pos="1134"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9"/>
          <w:tab w:val="left" w:pos="1134"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9"/>
          <w:tab w:val="left" w:pos="1134"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9"/>
          <w:tab w:val="left" w:pos="1134"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9"/>
          <w:tab w:val="left" w:pos="1134"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9"/>
          <w:tab w:val="left" w:pos="1134"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9"/>
          <w:tab w:val="left" w:pos="1134"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9"/>
          <w:tab w:val="left" w:pos="1134" w:leader="none"/>
        </w:tabs>
        <w:ind w:left="0" w:firstLine="709"/>
        <w:jc w:val="both"/>
        <w:rPr/>
      </w:pPr>
      <w:r>
        <w:rPr/>
        <w:t>Электронная почта: ld@rushydro.ru.</w:t>
      </w:r>
    </w:p>
    <w:p>
      <w:pPr>
        <w:pStyle w:val="ListParagraph"/>
        <w:widowControl w:val="false"/>
        <w:numPr>
          <w:ilvl w:val="2"/>
          <w:numId w:val="4"/>
        </w:numPr>
        <w:shd w:val="clear" w:color="auto" w:fill="FFFFFF"/>
        <w:tabs>
          <w:tab w:val="clear" w:pos="709"/>
          <w:tab w:val="left" w:pos="1134" w:leader="none"/>
        </w:tabs>
        <w:ind w:left="0" w:firstLine="709"/>
        <w:jc w:val="both"/>
        <w:rPr/>
      </w:pPr>
      <w:r>
        <w:rPr/>
        <w:t>Специальная форма «обратной связи», размещенная на официальном сайте ПАО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9"/>
          <w:tab w:val="left" w:pos="1134" w:leader="none"/>
        </w:tabs>
        <w:ind w:left="0" w:firstLine="709"/>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spacing w:lineRule="auto" w:line="240"/>
        <w:ind w:hanging="0"/>
        <w:rPr>
          <w:b/>
          <w:sz w:val="24"/>
          <w:szCs w:val="24"/>
        </w:rPr>
      </w:pPr>
      <w:r>
        <w:rPr>
          <w:b/>
          <w:sz w:val="24"/>
          <w:szCs w:val="24"/>
        </w:rPr>
      </w:r>
    </w:p>
    <w:p>
      <w:pPr>
        <w:pStyle w:val="ListParagraph"/>
        <w:numPr>
          <w:ilvl w:val="0"/>
          <w:numId w:val="4"/>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Стороны освобождаются от ответственности за неисполнение </w:t>
        <w:br/>
        <w:t xml:space="preserve">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w:t>
        <w:br/>
        <w:t>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9"/>
          <w:tab w:val="left" w:pos="1134" w:leader="none"/>
        </w:tabs>
        <w:ind w:left="0" w:firstLine="709"/>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4"/>
        </w:numPr>
        <w:shd w:val="clear" w:color="auto" w:fill="FFFFFF"/>
        <w:tabs>
          <w:tab w:val="clear" w:pos="709"/>
          <w:tab w:val="left" w:pos="1134" w:leader="none"/>
        </w:tabs>
        <w:ind w:left="0" w:firstLine="709"/>
        <w:jc w:val="both"/>
        <w:rPr>
          <w:bCs/>
        </w:rPr>
      </w:pPr>
      <w:r>
        <w:rPr>
          <w:bCs/>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9"/>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4"/>
        </w:numPr>
        <w:shd w:val="clear" w:color="auto" w:fill="FFFFFF"/>
        <w:tabs>
          <w:tab w:val="clear" w:pos="709"/>
          <w:tab w:val="left" w:pos="1134" w:leader="none"/>
        </w:tabs>
        <w:ind w:left="0" w:firstLine="709"/>
        <w:jc w:val="both"/>
        <w:rPr>
          <w:bCs/>
        </w:rPr>
      </w:pPr>
      <w:bookmarkStart w:id="37"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5"/>
        </w:numPr>
        <w:shd w:val="clear" w:color="auto" w:fill="FFFFFF"/>
        <w:tabs>
          <w:tab w:val="clear" w:pos="709"/>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w:t>
        <w:br/>
        <w:t xml:space="preserve">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b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5"/>
        </w:numPr>
        <w:shd w:val="clear" w:color="auto" w:fill="FFFFFF"/>
        <w:tabs>
          <w:tab w:val="clear" w:pos="709"/>
          <w:tab w:val="left" w:pos="1134" w:leader="none"/>
        </w:tabs>
        <w:ind w:left="0" w:firstLine="709"/>
        <w:jc w:val="both"/>
        <w:rPr>
          <w:bCs/>
        </w:rPr>
      </w:pPr>
      <w:r>
        <w:rPr>
          <w:bCs/>
        </w:rPr>
        <w:t xml:space="preserve">соответствующие </w:t>
      </w:r>
      <w:hyperlink r:id="rId4">
        <w:r>
          <w:rPr>
            <w:bCs/>
          </w:rPr>
          <w:t>Критери</w:t>
        </w:r>
      </w:hyperlink>
      <w:r>
        <w:rPr>
          <w:bCs/>
        </w:rPr>
        <w:t xml:space="preserve">ям самостоятельной оценки рисков </w:t>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br/>
        <w:t>от 30.05.2007 № ММ-3-06/333@).</w:t>
      </w:r>
      <w:bookmarkEnd w:id="37"/>
    </w:p>
    <w:p>
      <w:pPr>
        <w:pStyle w:val="ListParagraph"/>
        <w:numPr>
          <w:ilvl w:val="1"/>
          <w:numId w:val="4"/>
        </w:numPr>
        <w:shd w:val="clear" w:color="auto" w:fill="FFFFFF"/>
        <w:tabs>
          <w:tab w:val="clear" w:pos="709"/>
          <w:tab w:val="left" w:pos="1134" w:leader="none"/>
        </w:tabs>
        <w:ind w:left="0" w:firstLine="709"/>
        <w:jc w:val="both"/>
        <w:rPr>
          <w:bCs/>
        </w:rPr>
      </w:pPr>
      <w:bookmarkStart w:id="38" w:name="_Ref361337921"/>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8"/>
    </w:p>
    <w:p>
      <w:pPr>
        <w:pStyle w:val="ListParagraph"/>
        <w:numPr>
          <w:ilvl w:val="1"/>
          <w:numId w:val="4"/>
        </w:numPr>
        <w:shd w:val="clear" w:color="auto" w:fill="FFFFFF"/>
        <w:tabs>
          <w:tab w:val="clear" w:pos="709"/>
          <w:tab w:val="left" w:pos="1134" w:leader="none"/>
        </w:tabs>
        <w:ind w:left="0" w:firstLine="709"/>
        <w:jc w:val="both"/>
        <w:rPr>
          <w:bCs/>
        </w:rPr>
      </w:pPr>
      <w:bookmarkStart w:id="39" w:name="_Ref361337948"/>
      <w:r>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9"/>
    </w:p>
    <w:p>
      <w:pPr>
        <w:pStyle w:val="ListParagraph"/>
        <w:numPr>
          <w:ilvl w:val="1"/>
          <w:numId w:val="4"/>
        </w:numPr>
        <w:shd w:val="clear" w:color="auto" w:fill="FFFFFF"/>
        <w:tabs>
          <w:tab w:val="clear" w:pos="709"/>
          <w:tab w:val="left" w:pos="1134" w:leader="none"/>
        </w:tabs>
        <w:ind w:left="0" w:firstLine="709"/>
        <w:jc w:val="both"/>
        <w:rPr>
          <w:bCs/>
        </w:rPr>
      </w:pPr>
      <w:bookmarkStart w:id="40"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0"/>
    </w:p>
    <w:p>
      <w:pPr>
        <w:pStyle w:val="ListParagraph"/>
        <w:numPr>
          <w:ilvl w:val="1"/>
          <w:numId w:val="4"/>
        </w:numPr>
        <w:shd w:val="clear" w:color="auto" w:fill="FFFFFF"/>
        <w:tabs>
          <w:tab w:val="clear" w:pos="709"/>
          <w:tab w:val="left" w:pos="1134" w:leader="none"/>
        </w:tabs>
        <w:ind w:left="0" w:firstLine="709"/>
        <w:jc w:val="both"/>
        <w:rPr>
          <w:bCs/>
        </w:rPr>
      </w:pPr>
      <w:bookmarkStart w:id="41" w:name="_Ref373243071"/>
      <w:r>
        <w:rPr>
          <w:bCs/>
        </w:rPr>
        <w:t xml:space="preserve">Штраф, предусмотренный пунктом </w:t>
      </w:r>
      <w:r>
        <w:rPr>
          <w:bCs/>
        </w:rPr>
        <w:fldChar w:fldCharType="begin"/>
      </w:r>
      <w:r>
        <w:rPr>
          <w:bCs/>
        </w:rPr>
        <w:instrText xml:space="preserve"> REF _Ref361337980 \r \h </w:instrText>
      </w:r>
      <w:r>
        <w:rPr>
          <w:bCs/>
        </w:rPr>
        <w:fldChar w:fldCharType="separate"/>
      </w:r>
      <w:r>
        <w:rPr>
          <w:bCs/>
        </w:rPr>
        <w:t>14.4</w:t>
      </w:r>
      <w:r>
        <w:rPr>
          <w:bCs/>
        </w:rPr>
        <w:fldChar w:fldCharType="end"/>
      </w:r>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зависимости от направления уведомления об отказе от Договора (исполнения Договора), предусмотренного пунктом 14.3 Договора.</w:t>
      </w:r>
      <w:bookmarkEnd w:id="41"/>
    </w:p>
    <w:p>
      <w:pPr>
        <w:pStyle w:val="ListParagraph"/>
        <w:numPr>
          <w:ilvl w:val="1"/>
          <w:numId w:val="4"/>
        </w:numPr>
        <w:shd w:val="clear" w:color="auto" w:fill="FFFFFF"/>
        <w:tabs>
          <w:tab w:val="clear" w:pos="709"/>
          <w:tab w:val="left" w:pos="1134" w:leader="none"/>
        </w:tabs>
        <w:ind w:left="0" w:firstLine="709"/>
        <w:jc w:val="both"/>
        <w:rPr>
          <w:bCs/>
        </w:rPr>
      </w:pPr>
      <w:bookmarkStart w:id="42"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br/>
        <w:t>При этом Заказчик не будет считаться просрочившим и / или нарушившим свои обязательства по Договору.</w:t>
      </w:r>
      <w:bookmarkEnd w:id="42"/>
    </w:p>
    <w:p>
      <w:pPr>
        <w:pStyle w:val="ListParagraph"/>
        <w:numPr>
          <w:ilvl w:val="1"/>
          <w:numId w:val="4"/>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9"/>
          <w:tab w:val="left" w:pos="1134" w:leader="none"/>
        </w:tabs>
        <w:spacing w:lineRule="auto" w:line="240"/>
        <w:ind w:hanging="0"/>
        <w:rPr>
          <w:bCs/>
        </w:rPr>
      </w:pPr>
      <w:r>
        <w:rPr>
          <w:bCs/>
        </w:rPr>
      </w:r>
    </w:p>
    <w:p>
      <w:pPr>
        <w:pStyle w:val="ListParagraph"/>
        <w:numPr>
          <w:ilvl w:val="0"/>
          <w:numId w:val="4"/>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2"/>
        </w:numPr>
        <w:shd w:val="clear" w:color="auto" w:fill="FFFFFF"/>
        <w:tabs>
          <w:tab w:val="left" w:pos="709" w:leader="none"/>
          <w:tab w:val="left" w:pos="1418" w:leader="none"/>
        </w:tabs>
        <w:ind w:left="0" w:firstLine="709"/>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12"/>
        </w:numPr>
        <w:shd w:val="clear" w:color="auto" w:fill="FFFFFF"/>
        <w:tabs>
          <w:tab w:val="left" w:pos="709" w:leader="none"/>
          <w:tab w:val="left" w:pos="1418" w:leader="none"/>
        </w:tabs>
        <w:ind w:left="0" w:firstLine="709"/>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12"/>
        </w:numPr>
        <w:shd w:val="clear" w:color="auto" w:fill="FFFFFF"/>
        <w:tabs>
          <w:tab w:val="left" w:pos="709" w:leader="none"/>
          <w:tab w:val="left" w:pos="1418" w:leader="none"/>
        </w:tabs>
        <w:ind w:left="0" w:firstLine="709"/>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12"/>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2"/>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или </w:t>
        <w:br/>
        <w:t xml:space="preserve">в связи с ним.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4"/>
        </w:numPr>
        <w:shd w:val="clear" w:color="auto" w:fill="FFFFFF"/>
        <w:tabs>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4"/>
        </w:numPr>
        <w:shd w:val="clear" w:color="auto" w:fill="FFFFFF"/>
        <w:tabs>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4"/>
        </w:numPr>
        <w:shd w:val="clear" w:color="auto" w:fill="FFFFFF"/>
        <w:tabs>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4"/>
        </w:numPr>
        <w:shd w:val="clear" w:color="auto" w:fill="FFFFFF"/>
        <w:tabs>
          <w:tab w:val="left" w:pos="709" w:leader="none"/>
          <w:tab w:val="left" w:pos="1418" w:leader="none"/>
        </w:tabs>
        <w:ind w:left="0" w:firstLine="709"/>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w:t>
        <w:br/>
        <w:t xml:space="preserve">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3"/>
        </w:numPr>
        <w:shd w:val="clear" w:color="auto" w:fill="FFFFFF"/>
        <w:tabs>
          <w:tab w:val="clear" w:pos="709"/>
          <w:tab w:val="left" w:pos="567" w:leader="none"/>
          <w:tab w:val="left" w:pos="1418" w:leader="none"/>
        </w:tabs>
        <w:ind w:left="0" w:firstLine="709"/>
        <w:jc w:val="both"/>
        <w:rPr/>
      </w:pPr>
      <w:r>
        <w:rPr/>
        <w:t xml:space="preserve">вся информация, предоставленная Заказчику, является достоверной, полной </w:t>
        <w:br/>
        <w:t>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(пяти) процентов от Цены Договора, указанной в пункте 4.1 Договора.</w:t>
      </w:r>
    </w:p>
    <w:p>
      <w:pPr>
        <w:pStyle w:val="ListParagraph"/>
        <w:numPr>
          <w:ilvl w:val="1"/>
          <w:numId w:val="4"/>
        </w:numPr>
        <w:shd w:val="clear" w:color="auto" w:fill="FFFFFF"/>
        <w:tabs>
          <w:tab w:val="clear" w:pos="709"/>
          <w:tab w:val="left" w:pos="1134" w:leader="none"/>
          <w:tab w:val="left" w:pos="1418" w:leader="none"/>
        </w:tabs>
        <w:ind w:left="0" w:firstLine="709"/>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709" w:hanging="0"/>
        <w:jc w:val="both"/>
        <w:rPr>
          <w:b/>
        </w:rPr>
      </w:pPr>
      <w:r>
        <w:rPr>
          <w:b/>
        </w:rPr>
      </w:r>
    </w:p>
    <w:p>
      <w:pPr>
        <w:pStyle w:val="ListParagraph"/>
        <w:numPr>
          <w:ilvl w:val="0"/>
          <w:numId w:val="4"/>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4"/>
        </w:numPr>
        <w:shd w:val="clear" w:color="auto" w:fill="FFFFFF"/>
        <w:tabs>
          <w:tab w:val="clear" w:pos="709"/>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9"/>
          <w:tab w:val="left" w:pos="1134" w:leader="none"/>
        </w:tabs>
        <w:ind w:left="0" w:firstLine="709"/>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1"/>
        </w:numPr>
        <w:tabs>
          <w:tab w:val="clear" w:pos="709"/>
          <w:tab w:val="left" w:pos="1134" w:leader="none"/>
        </w:tabs>
        <w:ind w:left="0" w:right="23" w:firstLine="709"/>
        <w:jc w:val="both"/>
        <w:rPr/>
      </w:pPr>
      <w:r>
        <w:rPr/>
        <w:t xml:space="preserve">нарушение Подрядчиком начального и конечного сроков выполнения Работ </w:t>
        <w:br/>
        <w:t xml:space="preserve">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br/>
        <w:t>по причинам, не зависящим от Заказчика;</w:t>
      </w:r>
    </w:p>
    <w:p>
      <w:pPr>
        <w:pStyle w:val="ListParagraph"/>
        <w:numPr>
          <w:ilvl w:val="0"/>
          <w:numId w:val="11"/>
        </w:numPr>
        <w:tabs>
          <w:tab w:val="clear" w:pos="709"/>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1"/>
        </w:numPr>
        <w:tabs>
          <w:tab w:val="clear" w:pos="709"/>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1"/>
        </w:numPr>
        <w:tabs>
          <w:tab w:val="clear" w:pos="709"/>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2"/>
      </w:r>
    </w:p>
    <w:p>
      <w:pPr>
        <w:pStyle w:val="ListParagraph"/>
        <w:numPr>
          <w:ilvl w:val="0"/>
          <w:numId w:val="11"/>
        </w:numPr>
        <w:tabs>
          <w:tab w:val="clear" w:pos="709"/>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1"/>
        </w:numPr>
        <w:tabs>
          <w:tab w:val="clear" w:pos="709"/>
          <w:tab w:val="left" w:pos="1134" w:leader="none"/>
        </w:tabs>
        <w:ind w:left="0" w:right="23"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3.4.2 Договора;</w:t>
      </w:r>
    </w:p>
    <w:p>
      <w:pPr>
        <w:pStyle w:val="ListParagraph"/>
        <w:numPr>
          <w:ilvl w:val="0"/>
          <w:numId w:val="11"/>
        </w:numPr>
        <w:tabs>
          <w:tab w:val="clear" w:pos="709"/>
          <w:tab w:val="left" w:pos="1134" w:leader="none"/>
        </w:tabs>
        <w:ind w:left="0" w:right="23" w:firstLine="709"/>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16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9"/>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2"/>
        </w:numPr>
        <w:shd w:val="clear" w:color="auto" w:fill="FFFFFF"/>
        <w:tabs>
          <w:tab w:val="clear" w:pos="709"/>
          <w:tab w:val="left" w:pos="1418" w:leader="none"/>
        </w:tabs>
        <w:ind w:left="0" w:firstLine="709"/>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22"/>
        </w:numPr>
        <w:shd w:val="clear" w:color="auto" w:fill="FFFFFF"/>
        <w:tabs>
          <w:tab w:val="clear" w:pos="709"/>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22"/>
        </w:numPr>
        <w:shd w:val="clear" w:color="auto" w:fill="FFFFFF"/>
        <w:tabs>
          <w:tab w:val="clear" w:pos="709"/>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4"/>
        </w:numPr>
        <w:shd w:val="clear" w:color="auto" w:fill="FFFFFF"/>
        <w:tabs>
          <w:tab w:val="clear" w:pos="709"/>
          <w:tab w:val="left" w:pos="1134" w:leader="none"/>
        </w:tabs>
        <w:ind w:left="0" w:firstLine="709"/>
        <w:jc w:val="both"/>
        <w:rPr/>
      </w:pPr>
      <w: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w:t>
        <w:br/>
        <w:t xml:space="preserve">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134" w:leader="none"/>
        </w:tabs>
        <w:ind w:left="709" w:hanging="0"/>
        <w:jc w:val="both"/>
        <w:rPr/>
      </w:pPr>
      <w:r>
        <w:rPr/>
      </w:r>
    </w:p>
    <w:p>
      <w:pPr>
        <w:pStyle w:val="ListParagraph"/>
        <w:numPr>
          <w:ilvl w:val="0"/>
          <w:numId w:val="4"/>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4"/>
        </w:numPr>
        <w:shd w:val="clear" w:color="auto" w:fill="FFFFFF"/>
        <w:tabs>
          <w:tab w:val="clear" w:pos="709"/>
          <w:tab w:val="left" w:pos="1134" w:leader="none"/>
        </w:tabs>
        <w:ind w:left="0" w:firstLine="709"/>
        <w:jc w:val="both"/>
        <w:rPr/>
      </w:pPr>
      <w: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numPr>
          <w:ilvl w:val="1"/>
          <w:numId w:val="4"/>
        </w:numPr>
        <w:snapToGrid w:val="false"/>
        <w:spacing w:lineRule="auto" w:line="240"/>
        <w:ind w:left="0" w:firstLine="709"/>
        <w:rPr>
          <w:sz w:val="24"/>
          <w:szCs w:val="24"/>
        </w:rPr>
      </w:pPr>
      <w:r>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ListParagraph"/>
        <w:ind w:left="0" w:firstLine="709"/>
        <w:jc w:val="both"/>
        <w:rPr>
          <w:lang w:eastAsia="en-US"/>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lang w:eastAsia="en-US"/>
        </w:rPr>
        <w:t xml:space="preserve">. </w:t>
      </w:r>
    </w:p>
    <w:p>
      <w:pPr>
        <w:pStyle w:val="ListParagraph"/>
        <w:numPr>
          <w:ilvl w:val="1"/>
          <w:numId w:val="4"/>
        </w:numPr>
        <w:shd w:val="clear" w:color="auto" w:fill="FFFFFF"/>
        <w:tabs>
          <w:tab w:val="clear" w:pos="709"/>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17.7 Договора. </w:t>
      </w:r>
    </w:p>
    <w:p>
      <w:pPr>
        <w:pStyle w:val="ListParagraph"/>
        <w:numPr>
          <w:ilvl w:val="1"/>
          <w:numId w:val="4"/>
        </w:numPr>
        <w:shd w:val="clear" w:color="auto" w:fill="FFFFFF"/>
        <w:tabs>
          <w:tab w:val="clear" w:pos="709"/>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9"/>
          <w:tab w:val="left" w:pos="1134" w:leader="none"/>
        </w:tabs>
        <w:ind w:left="0" w:firstLine="709"/>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4"/>
        </w:numPr>
        <w:shd w:val="clear" w:color="auto" w:fill="FFFFFF"/>
        <w:tabs>
          <w:tab w:val="clear" w:pos="709"/>
          <w:tab w:val="left" w:pos="0" w:leader="none"/>
          <w:tab w:val="left" w:pos="1134" w:leader="none"/>
          <w:tab w:val="left" w:pos="1418" w:leader="none"/>
        </w:tabs>
        <w:ind w:left="0" w:firstLine="709"/>
        <w:jc w:val="both"/>
        <w:rPr>
          <w:bCs/>
        </w:rPr>
      </w:pPr>
      <w: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 xml:space="preserve">в письменной форме в порядке, предусмотренном пунктом 17.7 Договора. </w:t>
      </w:r>
    </w:p>
    <w:p>
      <w:pPr>
        <w:pStyle w:val="ListParagraph"/>
        <w:numPr>
          <w:ilvl w:val="1"/>
          <w:numId w:val="4"/>
        </w:numPr>
        <w:shd w:val="clear" w:color="auto" w:fill="FFFFFF"/>
        <w:tabs>
          <w:tab w:val="clear" w:pos="709"/>
          <w:tab w:val="left" w:pos="0" w:leader="none"/>
          <w:tab w:val="left" w:pos="1134" w:leader="none"/>
          <w:tab w:val="left" w:pos="1418" w:leader="none"/>
        </w:tabs>
        <w:ind w:left="0" w:firstLine="709"/>
        <w:jc w:val="both"/>
        <w:rPr>
          <w:bCs/>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 xml:space="preserve">: </w:t>
      </w:r>
    </w:p>
    <w:p>
      <w:pPr>
        <w:pStyle w:val="ListParagraph"/>
        <w:widowControl w:val="false"/>
        <w:numPr>
          <w:ilvl w:val="2"/>
          <w:numId w:val="4"/>
        </w:numPr>
        <w:ind w:left="0" w:firstLine="709"/>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4"/>
        </w:numPr>
        <w:ind w:left="0" w:firstLine="709"/>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 xml:space="preserve">; </w:t>
      </w:r>
    </w:p>
    <w:p>
      <w:pPr>
        <w:pStyle w:val="ListParagraph"/>
        <w:widowControl w:val="false"/>
        <w:numPr>
          <w:ilvl w:val="2"/>
          <w:numId w:val="4"/>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0" w:leader="none"/>
          <w:tab w:val="left" w:pos="1418" w:leader="none"/>
          <w:tab w:val="left" w:pos="1701" w:leader="none"/>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p>
      <w:pPr>
        <w:pStyle w:val="ListParagraph"/>
        <w:numPr>
          <w:ilvl w:val="1"/>
          <w:numId w:val="23"/>
        </w:numPr>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3"/>
        </w:numPr>
        <w:shd w:val="clear" w:color="auto" w:fill="FFFFFF"/>
        <w:tabs>
          <w:tab w:val="clear" w:pos="709"/>
          <w:tab w:val="left" w:pos="568" w:leader="none"/>
        </w:tabs>
        <w:ind w:left="0" w:firstLine="709"/>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Normal"/>
        <w:shd w:val="clear" w:color="auto" w:fill="FFFFFF"/>
        <w:tabs>
          <w:tab w:val="clear" w:pos="709"/>
          <w:tab w:val="left" w:pos="568" w:leader="none"/>
        </w:tabs>
        <w:spacing w:lineRule="auto" w:line="240"/>
        <w:ind w:firstLine="709"/>
        <w:rPr>
          <w:bCs/>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Pr>
          <w:sz w:val="24"/>
          <w:szCs w:val="24"/>
        </w:rPr>
        <w:t>.</w:t>
      </w:r>
    </w:p>
    <w:p>
      <w:pPr>
        <w:pStyle w:val="ListParagraph"/>
        <w:numPr>
          <w:ilvl w:val="1"/>
          <w:numId w:val="23"/>
        </w:numPr>
        <w:shd w:val="clear" w:color="auto" w:fill="FFFFFF"/>
        <w:tabs>
          <w:tab w:val="clear" w:pos="709"/>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tabs>
          <w:tab w:val="clear" w:pos="709"/>
          <w:tab w:val="left" w:pos="1134" w:leader="none"/>
        </w:tabs>
        <w:ind w:left="0" w:hanging="0"/>
        <w:jc w:val="both"/>
        <w:rPr/>
      </w:pPr>
      <w:r>
        <w:rPr/>
      </w:r>
    </w:p>
    <w:p>
      <w:pPr>
        <w:pStyle w:val="ListParagraph"/>
        <w:numPr>
          <w:ilvl w:val="0"/>
          <w:numId w:val="23"/>
        </w:numPr>
        <w:shd w:val="clear" w:color="auto" w:fill="FFFFFF"/>
        <w:tabs>
          <w:tab w:val="clear" w:pos="709"/>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ind w:left="0" w:hanging="0"/>
        <w:jc w:val="both"/>
        <w:rPr/>
      </w:pPr>
      <w:r>
        <w:rPr>
          <w:bCs/>
        </w:rPr>
        <w:t xml:space="preserve">Приложение № 2 – </w:t>
      </w:r>
      <w:r>
        <w:rPr/>
        <w:t>Спецификация Оборудования.</w:t>
      </w:r>
    </w:p>
    <w:p>
      <w:pPr>
        <w:pStyle w:val="ListParagraph"/>
        <w:shd w:val="clear" w:color="auto" w:fill="FFFFFF"/>
        <w:ind w:left="0" w:hanging="0"/>
        <w:jc w:val="both"/>
        <w:rPr>
          <w:bCs/>
        </w:rPr>
      </w:pPr>
      <w:r>
        <w:rPr>
          <w:bCs/>
        </w:rPr>
        <w:t>Приложение № 3 – Календарный график поставки Оборудования и выполнения Работ.</w:t>
      </w:r>
    </w:p>
    <w:p>
      <w:pPr>
        <w:pStyle w:val="ListParagraph"/>
        <w:shd w:val="clear" w:color="auto" w:fill="FFFFFF"/>
        <w:ind w:left="0" w:hanging="0"/>
        <w:jc w:val="both"/>
        <w:rPr>
          <w:bCs/>
        </w:rPr>
      </w:pPr>
      <w:r>
        <w:rPr>
          <w:bCs/>
        </w:rPr>
        <w:t>Приложение № 4 – Сводный сметный расчет с приложениями.</w:t>
      </w:r>
    </w:p>
    <w:p>
      <w:pPr>
        <w:pStyle w:val="ListParagraph"/>
        <w:shd w:val="clear" w:color="auto" w:fill="FFFFFF"/>
        <w:ind w:left="0" w:hanging="0"/>
        <w:jc w:val="both"/>
        <w:rPr>
          <w:bCs/>
        </w:rPr>
      </w:pPr>
      <w:r>
        <w:rPr>
          <w:bCs/>
        </w:rPr>
        <w:t>Приложение № 5.1 – Форма Акта сдачи-приемки места производства работ.</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 xml:space="preserve">Приложение № 7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rPr>
        <w:t>Приложение № 9 – Форма Акта освидетельствования выполненных работ.</w:t>
      </w:r>
    </w:p>
    <w:p>
      <w:pPr>
        <w:pStyle w:val="ListParagraph"/>
        <w:shd w:val="clear" w:color="auto" w:fill="FFFFFF"/>
        <w:ind w:left="0" w:hanging="0"/>
        <w:jc w:val="both"/>
        <w:rPr>
          <w:bCs/>
        </w:rPr>
      </w:pPr>
      <w:r>
        <w:rPr>
          <w:bCs/>
        </w:rPr>
        <w:t>Приложение № 10 – Перечень объектов учета капитальных вложений.</w:t>
      </w:r>
    </w:p>
    <w:p>
      <w:pPr>
        <w:pStyle w:val="ListParagraph"/>
        <w:shd w:val="clear" w:color="auto" w:fill="FFFFFF"/>
        <w:ind w:left="0" w:hanging="0"/>
        <w:jc w:val="both"/>
        <w:rPr>
          <w:bCs/>
        </w:rPr>
      </w:pPr>
      <w:r>
        <w:rPr>
          <w:bCs/>
        </w:rPr>
        <w:t xml:space="preserve">Приложение № 11 – Требования к страховой компании и существенные условия договора страхования. </w:t>
      </w:r>
    </w:p>
    <w:p>
      <w:pPr>
        <w:pStyle w:val="ListParagraph"/>
        <w:shd w:val="clear" w:color="auto" w:fill="FFFFFF"/>
        <w:ind w:left="0" w:hanging="0"/>
        <w:jc w:val="both"/>
        <w:rPr/>
      </w:pPr>
      <w:r>
        <w:rPr>
          <w:bCs/>
        </w:rPr>
        <w:t xml:space="preserve">Приложение № 12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Normal"/>
        <w:shd w:val="clear" w:color="auto" w:fill="FFFFFF"/>
        <w:spacing w:lineRule="auto" w:line="240"/>
        <w:ind w:hanging="0"/>
        <w:rPr>
          <w:sz w:val="24"/>
          <w:szCs w:val="24"/>
        </w:rPr>
      </w:pPr>
      <w:r>
        <w:rPr>
          <w:sz w:val="24"/>
          <w:szCs w:val="24"/>
        </w:rPr>
        <w:t>Приложение № 13 - Порядок возврата Подрядчиком Заказчику лома и отходов черных и цветных металлов, образовавшихся при производстве работ.</w:t>
      </w:r>
    </w:p>
    <w:p>
      <w:pPr>
        <w:pStyle w:val="ListParagraph"/>
        <w:shd w:val="clear" w:color="auto" w:fill="FFFFFF"/>
        <w:ind w:left="0" w:hanging="0"/>
        <w:jc w:val="both"/>
        <w:rPr/>
      </w:pPr>
      <w:r>
        <w:rPr/>
      </w:r>
    </w:p>
    <w:p>
      <w:pPr>
        <w:pStyle w:val="ListParagraph"/>
        <w:numPr>
          <w:ilvl w:val="0"/>
          <w:numId w:val="23"/>
        </w:numPr>
        <w:shd w:val="clear" w:color="auto" w:fill="FFFFFF"/>
        <w:tabs>
          <w:tab w:val="clear" w:pos="709"/>
          <w:tab w:val="left" w:pos="426" w:leader="none"/>
        </w:tabs>
        <w:ind w:left="0" w:hanging="0"/>
        <w:jc w:val="center"/>
        <w:rPr>
          <w:b/>
          <w:bCs/>
        </w:rPr>
      </w:pPr>
      <w:r>
        <w:rPr>
          <w:b/>
          <w:bCs/>
        </w:rPr>
        <w:t>Адреса и платежные реквизиты Сторон</w:t>
      </w:r>
    </w:p>
    <w:tbl>
      <w:tblPr>
        <w:tblW w:w="9571" w:type="dxa"/>
        <w:jc w:val="left"/>
        <w:tblInd w:w="142" w:type="dxa"/>
        <w:tblLayout w:type="fixed"/>
        <w:tblCellMar>
          <w:top w:w="0" w:type="dxa"/>
          <w:left w:w="108" w:type="dxa"/>
          <w:bottom w:w="0" w:type="dxa"/>
          <w:right w:w="108" w:type="dxa"/>
        </w:tblCellMar>
        <w:tblLook w:val="01e0" w:noHBand="0" w:noVBand="0" w:firstColumn="1" w:lastRow="1" w:lastColumn="1" w:firstRow="1"/>
      </w:tblPr>
      <w:tblGrid>
        <w:gridCol w:w="4690"/>
        <w:gridCol w:w="151"/>
        <w:gridCol w:w="4491"/>
        <w:gridCol w:w="239"/>
      </w:tblGrid>
      <w:tr>
        <w:trPr/>
        <w:tc>
          <w:tcPr>
            <w:tcW w:w="4841"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491" w:type="dxa"/>
            <w:tcBorders/>
            <w:shd w:color="auto" w:fill="auto" w:val="clear"/>
          </w:tcPr>
          <w:p>
            <w:pPr>
              <w:pStyle w:val="Normal"/>
              <w:widowControl w:val="false"/>
              <w:spacing w:lineRule="auto" w:line="240"/>
              <w:ind w:hanging="0"/>
              <w:jc w:val="center"/>
              <w:rPr>
                <w:sz w:val="24"/>
                <w:szCs w:val="24"/>
              </w:rPr>
            </w:pPr>
            <w:r>
              <w:rPr>
                <w:sz w:val="24"/>
                <w:szCs w:val="24"/>
              </w:rPr>
              <w:t>ПОДРЯДЧИК:</w:t>
            </w:r>
          </w:p>
        </w:tc>
        <w:tc>
          <w:tcPr>
            <w:tcW w:w="239" w:type="dxa"/>
            <w:tcBorders/>
            <w:shd w:color="auto" w:fill="auto" w:val="clear"/>
          </w:tcPr>
          <w:p>
            <w:pPr>
              <w:pStyle w:val="Normal"/>
              <w:widowControl w:val="false"/>
              <w:rPr/>
            </w:pPr>
            <w:r>
              <w:rPr/>
            </w:r>
          </w:p>
        </w:tc>
      </w:tr>
      <w:tr>
        <w:trPr/>
        <w:tc>
          <w:tcPr>
            <w:tcW w:w="4841"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Публичное акционерное общество</w:t>
            </w:r>
          </w:p>
          <w:p>
            <w:pPr>
              <w:pStyle w:val="Normal"/>
              <w:widowControl w:val="false"/>
              <w:spacing w:lineRule="auto" w:line="240"/>
              <w:ind w:hanging="0"/>
              <w:jc w:val="left"/>
              <w:rPr>
                <w:b/>
                <w:sz w:val="24"/>
                <w:szCs w:val="24"/>
              </w:rPr>
            </w:pPr>
            <w:r>
              <w:rPr>
                <w:b/>
                <w:sz w:val="24"/>
                <w:szCs w:val="24"/>
              </w:rPr>
              <w:t>«Федеральная гидрогенерирующая компания - РусГидро» (ПАО «РусГидро»)</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Юридический/Почтовый адрес: 660049 Красноярский край, г.о. город Красноярск,</w:t>
            </w:r>
          </w:p>
          <w:p>
            <w:pPr>
              <w:pStyle w:val="Normal"/>
              <w:widowControl w:val="false"/>
              <w:spacing w:lineRule="auto" w:line="240"/>
              <w:ind w:hanging="0"/>
              <w:jc w:val="left"/>
              <w:rPr>
                <w:sz w:val="24"/>
                <w:szCs w:val="24"/>
              </w:rPr>
            </w:pPr>
            <w:r>
              <w:rPr>
                <w:sz w:val="24"/>
                <w:szCs w:val="24"/>
              </w:rPr>
              <w:t xml:space="preserve">г. Красноярск, ул. Перенсона, д.2а, пом.1, </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ОГРН 1042401810494, </w:t>
            </w:r>
          </w:p>
          <w:p>
            <w:pPr>
              <w:pStyle w:val="Normal"/>
              <w:widowControl w:val="false"/>
              <w:spacing w:lineRule="auto" w:line="240"/>
              <w:ind w:hanging="0"/>
              <w:jc w:val="left"/>
              <w:rPr>
                <w:sz w:val="24"/>
                <w:szCs w:val="24"/>
              </w:rPr>
            </w:pPr>
            <w:r>
              <w:rPr>
                <w:sz w:val="24"/>
                <w:szCs w:val="24"/>
              </w:rPr>
              <w:t xml:space="preserve">ИНН 2460066195 / КПП 246601001 </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491"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Юридический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c>
          <w:tcPr>
            <w:tcW w:w="239" w:type="dxa"/>
            <w:tcBorders/>
            <w:shd w:color="auto" w:fill="auto" w:val="clear"/>
          </w:tcPr>
          <w:p>
            <w:pPr>
              <w:pStyle w:val="Normal"/>
              <w:widowControl w:val="false"/>
              <w:rPr/>
            </w:pPr>
            <w:r>
              <w:rPr/>
            </w:r>
          </w:p>
        </w:tc>
      </w:tr>
      <w:tr>
        <w:trPr/>
        <w:tc>
          <w:tcPr>
            <w:tcW w:w="4690"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881" w:type="dxa"/>
            <w:gridSpan w:val="3"/>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4819" w:hanging="0"/>
        <w:jc w:val="left"/>
        <w:rPr>
          <w:shd w:fill="C0C0C0" w:val="clear"/>
        </w:rPr>
      </w:pPr>
      <w:r>
        <w:rPr>
          <w:shd w:fill="C0C0C0" w:val="clear"/>
        </w:rPr>
      </w:r>
      <w:r>
        <w:br w:type="page"/>
      </w:r>
    </w:p>
    <w:p>
      <w:pPr>
        <w:pStyle w:val="Normal"/>
        <w:spacing w:lineRule="auto" w:line="240"/>
        <w:ind w:hanging="0"/>
        <w:jc w:val="left"/>
        <w:rPr>
          <w:shd w:fill="C0C0C0" w:val="clear"/>
        </w:rPr>
      </w:pPr>
      <w:r>
        <w:rPr>
          <w:shd w:fill="C0C0C0" w:val="clear"/>
        </w:rPr>
      </w:r>
    </w:p>
    <w:p>
      <w:pPr>
        <w:pStyle w:val="Normal"/>
        <w:spacing w:lineRule="auto" w:line="240"/>
        <w:ind w:left="5103" w:hanging="0"/>
        <w:rPr>
          <w:sz w:val="22"/>
          <w:szCs w:val="22"/>
        </w:rPr>
      </w:pPr>
      <w:r>
        <w:rPr>
          <w:sz w:val="22"/>
          <w:szCs w:val="22"/>
        </w:rPr>
        <w:t>Приложение № 2 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ind w:left="10065" w:hanging="0"/>
        <w:jc w:val="left"/>
        <w:rPr>
          <w:sz w:val="22"/>
          <w:szCs w:val="22"/>
        </w:rPr>
      </w:pPr>
      <w:r>
        <w:rPr>
          <w:sz w:val="22"/>
          <w:szCs w:val="22"/>
        </w:rPr>
      </w:r>
    </w:p>
    <w:p>
      <w:pPr>
        <w:pStyle w:val="Normal"/>
        <w:spacing w:lineRule="auto" w:line="240"/>
        <w:ind w:hanging="0"/>
        <w:jc w:val="center"/>
        <w:rPr>
          <w:b/>
          <w:sz w:val="24"/>
          <w:szCs w:val="24"/>
        </w:rPr>
      </w:pPr>
      <w:r>
        <w:rPr>
          <w:b/>
          <w:sz w:val="24"/>
          <w:szCs w:val="24"/>
        </w:rPr>
        <w:t>СПЕЦИФИКАЦИЯ ОБОРУДОВАНИЯ</w:t>
      </w:r>
    </w:p>
    <w:p>
      <w:pPr>
        <w:pStyle w:val="Normal"/>
        <w:spacing w:lineRule="auto" w:line="240"/>
        <w:ind w:hanging="0"/>
        <w:jc w:val="center"/>
        <w:rPr>
          <w:b/>
          <w:sz w:val="24"/>
          <w:szCs w:val="24"/>
        </w:rPr>
      </w:pPr>
      <w:r>
        <w:rPr>
          <w:b/>
          <w:sz w:val="24"/>
          <w:szCs w:val="24"/>
        </w:rPr>
      </w:r>
    </w:p>
    <w:tbl>
      <w:tblPr>
        <w:tblW w:w="9249" w:type="dxa"/>
        <w:jc w:val="left"/>
        <w:tblInd w:w="-714" w:type="dxa"/>
        <w:tblLayout w:type="fixed"/>
        <w:tblCellMar>
          <w:top w:w="0" w:type="dxa"/>
          <w:left w:w="108" w:type="dxa"/>
          <w:bottom w:w="0" w:type="dxa"/>
          <w:right w:w="108" w:type="dxa"/>
        </w:tblCellMar>
        <w:tblLook w:val="04a0" w:noHBand="0" w:noVBand="1" w:firstColumn="1" w:lastRow="0" w:lastColumn="0" w:firstRow="1"/>
      </w:tblPr>
      <w:tblGrid>
        <w:gridCol w:w="415"/>
        <w:gridCol w:w="594"/>
        <w:gridCol w:w="604"/>
        <w:gridCol w:w="605"/>
        <w:gridCol w:w="772"/>
        <w:gridCol w:w="715"/>
        <w:gridCol w:w="626"/>
        <w:gridCol w:w="726"/>
        <w:gridCol w:w="513"/>
        <w:gridCol w:w="550"/>
        <w:gridCol w:w="742"/>
        <w:gridCol w:w="515"/>
        <w:gridCol w:w="714"/>
        <w:gridCol w:w="1157"/>
      </w:tblGrid>
      <w:tr>
        <w:trPr>
          <w:trHeight w:val="526" w:hRule="atLeast"/>
        </w:trPr>
        <w:tc>
          <w:tcPr>
            <w:tcW w:w="4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 xml:space="preserve">№ </w:t>
            </w:r>
            <w:r>
              <w:rPr>
                <w:bCs/>
                <w:sz w:val="20"/>
                <w:szCs w:val="20"/>
              </w:rPr>
              <w:t>поз.</w:t>
            </w:r>
          </w:p>
        </w:tc>
        <w:tc>
          <w:tcPr>
            <w:tcW w:w="5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Наименование Оборудования</w:t>
            </w:r>
          </w:p>
        </w:tc>
        <w:tc>
          <w:tcPr>
            <w:tcW w:w="6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t>Артикул, тип, марка</w:t>
            </w:r>
          </w:p>
        </w:tc>
        <w:tc>
          <w:tcPr>
            <w:tcW w:w="6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Завод изготовитель</w:t>
            </w:r>
          </w:p>
        </w:tc>
        <w:tc>
          <w:tcPr>
            <w:tcW w:w="7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r>
          </w:p>
          <w:p>
            <w:pPr>
              <w:pStyle w:val="Normal"/>
              <w:widowControl w:val="false"/>
              <w:spacing w:lineRule="auto" w:line="240"/>
              <w:ind w:hanging="0"/>
              <w:jc w:val="center"/>
              <w:rPr>
                <w:bCs/>
                <w:sz w:val="20"/>
                <w:szCs w:val="20"/>
              </w:rPr>
            </w:pPr>
            <w:r>
              <w:rPr>
                <w:bCs/>
                <w:sz w:val="20"/>
                <w:szCs w:val="20"/>
              </w:rPr>
              <w:t>Страна происхождения Оборудования</w:t>
            </w:r>
          </w:p>
        </w:tc>
        <w:tc>
          <w:tcPr>
            <w:tcW w:w="7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sz w:val="20"/>
                <w:szCs w:val="20"/>
              </w:rPr>
              <w:t>Страна регистрации производителя Оборудования</w:t>
            </w:r>
          </w:p>
        </w:tc>
        <w:tc>
          <w:tcPr>
            <w:tcW w:w="6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Код ОКПД 2 (с наименованием)</w:t>
            </w:r>
          </w:p>
        </w:tc>
        <w:tc>
          <w:tcPr>
            <w:tcW w:w="7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Единица измерения</w:t>
            </w:r>
          </w:p>
        </w:tc>
        <w:tc>
          <w:tcPr>
            <w:tcW w:w="5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Количество</w:t>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Цена за единицу, руб. без НДС</w:t>
            </w:r>
          </w:p>
        </w:tc>
        <w:tc>
          <w:tcPr>
            <w:tcW w:w="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Цена, руб. без НДС</w:t>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НДС</w:t>
            </w:r>
          </w:p>
          <w:p>
            <w:pPr>
              <w:pStyle w:val="Normal"/>
              <w:widowControl w:val="false"/>
              <w:spacing w:lineRule="auto" w:line="240"/>
              <w:ind w:hanging="0"/>
              <w:jc w:val="center"/>
              <w:rPr>
                <w:bCs/>
                <w:sz w:val="20"/>
                <w:szCs w:val="20"/>
              </w:rPr>
            </w:pPr>
            <w:r>
              <w:rPr>
                <w:bCs/>
                <w:sz w:val="20"/>
                <w:szCs w:val="20"/>
              </w:rPr>
              <w:t>(___%) руб.*</w:t>
            </w:r>
          </w:p>
        </w:tc>
        <w:tc>
          <w:tcPr>
            <w:tcW w:w="7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Стоимость, руб., с НДС*</w:t>
            </w:r>
          </w:p>
        </w:tc>
        <w:tc>
          <w:tcPr>
            <w:tcW w:w="11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bCs/>
                <w:sz w:val="20"/>
                <w:szCs w:val="20"/>
              </w:rPr>
            </w:pPr>
            <w:r>
              <w:rPr>
                <w:bCs/>
                <w:sz w:val="20"/>
                <w:szCs w:val="20"/>
              </w:rPr>
              <w:t>Перечень сопроводительных документов (в том числе подтверждающих качество Оборудования)</w:t>
            </w:r>
          </w:p>
        </w:tc>
      </w:tr>
      <w:tr>
        <w:trPr>
          <w:trHeight w:val="538" w:hRule="atLeast"/>
        </w:trPr>
        <w:tc>
          <w:tcPr>
            <w:tcW w:w="4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lightGray"/>
              </w:rPr>
            </w:pPr>
            <w:r>
              <w:rPr>
                <w:sz w:val="20"/>
                <w:szCs w:val="20"/>
                <w:highlight w:val="lightGray"/>
              </w:rPr>
              <w:t>1</w:t>
            </w:r>
          </w:p>
        </w:tc>
        <w:tc>
          <w:tcPr>
            <w:tcW w:w="5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6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6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5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7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1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r>
        <w:trPr>
          <w:trHeight w:val="538" w:hRule="atLeast"/>
        </w:trPr>
        <w:tc>
          <w:tcPr>
            <w:tcW w:w="4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lightGray"/>
              </w:rPr>
            </w:pPr>
            <w:r>
              <w:rPr>
                <w:sz w:val="20"/>
                <w:szCs w:val="20"/>
                <w:highlight w:val="lightGray"/>
              </w:rPr>
              <w:t>2</w:t>
            </w:r>
          </w:p>
        </w:tc>
        <w:tc>
          <w:tcPr>
            <w:tcW w:w="5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6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6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6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7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0"/>
                <w:szCs w:val="20"/>
                <w:highlight w:val="yellow"/>
              </w:rPr>
            </w:pPr>
            <w:r>
              <w:rPr>
                <w:sz w:val="20"/>
                <w:szCs w:val="20"/>
                <w:highlight w:val="yellow"/>
              </w:rPr>
            </w:r>
          </w:p>
        </w:tc>
        <w:tc>
          <w:tcPr>
            <w:tcW w:w="5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7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rPr>
                <w:sz w:val="20"/>
                <w:szCs w:val="20"/>
                <w:highlight w:val="yellow"/>
              </w:rPr>
            </w:pPr>
            <w:r>
              <w:rPr>
                <w:sz w:val="20"/>
                <w:szCs w:val="20"/>
                <w:highlight w:val="yellow"/>
              </w:rPr>
            </w:r>
          </w:p>
        </w:tc>
        <w:tc>
          <w:tcPr>
            <w:tcW w:w="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c>
          <w:tcPr>
            <w:tcW w:w="71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highlight w:val="yellow"/>
              </w:rPr>
            </w:pPr>
            <w:r>
              <w:rPr>
                <w:sz w:val="20"/>
                <w:szCs w:val="20"/>
                <w:highlight w:val="yellow"/>
              </w:rPr>
            </w:r>
          </w:p>
        </w:tc>
        <w:tc>
          <w:tcPr>
            <w:tcW w:w="11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highlight w:val="yellow"/>
              </w:rPr>
            </w:pPr>
            <w:r>
              <w:rPr>
                <w:sz w:val="20"/>
                <w:szCs w:val="20"/>
                <w:highlight w:val="yellow"/>
              </w:rPr>
            </w:r>
          </w:p>
        </w:tc>
      </w:tr>
    </w:tbl>
    <w:p>
      <w:pPr>
        <w:pStyle w:val="Normal"/>
        <w:spacing w:lineRule="auto" w:line="240"/>
        <w:ind w:left="-680" w:hanging="0"/>
        <w:rPr>
          <w:i/>
          <w:i/>
          <w:iCs/>
          <w:sz w:val="20"/>
          <w:szCs w:val="20"/>
        </w:rPr>
      </w:pPr>
      <w:r>
        <w:rPr>
          <w:i/>
          <w:iCs/>
          <w:sz w:val="20"/>
          <w:szCs w:val="20"/>
        </w:rPr>
        <w:t>* При этом сумма НДС является справочной и рассчитана исходя из ставки НДС в соответствии с действующим законодательством Российской Федерации.</w:t>
      </w:r>
    </w:p>
    <w:p>
      <w:pPr>
        <w:pStyle w:val="Normal"/>
        <w:spacing w:lineRule="auto" w:line="240"/>
        <w:ind w:left="-680" w:right="737" w:hanging="0"/>
        <w:rPr>
          <w:i/>
          <w:i/>
          <w:iCs/>
          <w:sz w:val="20"/>
          <w:szCs w:val="20"/>
        </w:rPr>
      </w:pPr>
      <w:r>
        <w:rPr>
          <w:i/>
          <w:iCs/>
          <w:sz w:val="20"/>
          <w:szCs w:val="20"/>
        </w:rPr>
      </w:r>
    </w:p>
    <w:p>
      <w:pPr>
        <w:pStyle w:val="Normal"/>
        <w:widowControl w:val="false"/>
        <w:spacing w:lineRule="auto" w:line="240"/>
        <w:ind w:hanging="0"/>
        <w:jc w:val="left"/>
        <w:rPr>
          <w:i/>
          <w:i/>
          <w:sz w:val="22"/>
          <w:szCs w:val="22"/>
        </w:rPr>
      </w:pPr>
      <w:r>
        <w:rPr>
          <w:i/>
          <w:sz w:val="22"/>
          <w:szCs w:val="22"/>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74"/>
        <w:gridCol w:w="4862"/>
      </w:tblGrid>
      <w:tr>
        <w:trPr>
          <w:trHeight w:val="269" w:hRule="atLeast"/>
        </w:trPr>
        <w:tc>
          <w:tcPr>
            <w:tcW w:w="4774" w:type="dxa"/>
            <w:tcBorders/>
          </w:tcPr>
          <w:p>
            <w:pPr>
              <w:pStyle w:val="Normal"/>
              <w:widowControl w:val="false"/>
              <w:spacing w:lineRule="auto" w:line="240"/>
              <w:ind w:hanging="0"/>
              <w:jc w:val="left"/>
              <w:rPr>
                <w:b/>
                <w:sz w:val="24"/>
              </w:rPr>
            </w:pPr>
            <w:r>
              <w:rPr>
                <w:b/>
                <w:sz w:val="24"/>
              </w:rPr>
              <w:t>Заказчик:</w:t>
            </w:r>
          </w:p>
        </w:tc>
        <w:tc>
          <w:tcPr>
            <w:tcW w:w="4862" w:type="dxa"/>
            <w:tcBorders/>
          </w:tcPr>
          <w:p>
            <w:pPr>
              <w:pStyle w:val="Normal"/>
              <w:widowControl w:val="false"/>
              <w:spacing w:lineRule="auto" w:line="240"/>
              <w:ind w:hanging="0"/>
              <w:jc w:val="left"/>
              <w:rPr>
                <w:b/>
                <w:sz w:val="24"/>
              </w:rPr>
            </w:pPr>
            <w:r>
              <w:rPr>
                <w:b/>
                <w:sz w:val="24"/>
              </w:rPr>
              <w:t>Подрядчик:</w:t>
            </w:r>
          </w:p>
        </w:tc>
      </w:tr>
    </w:tbl>
    <w:p>
      <w:pPr>
        <w:pStyle w:val="Normal"/>
        <w:ind w:hanging="0"/>
        <w:rPr/>
      </w:pPr>
      <w:r>
        <w:rPr/>
        <w:t xml:space="preserve"> </w:t>
      </w:r>
      <w:r>
        <w:rPr/>
        <w:t>__________ /__________</w:t>
        <w:tab/>
        <w:t xml:space="preserve">                    ___________ /___________</w:t>
      </w:r>
    </w:p>
    <w:p>
      <w:pPr>
        <w:pStyle w:val="Normal"/>
        <w:spacing w:lineRule="auto" w:line="240"/>
        <w:ind w:left="5103" w:hanging="0"/>
        <w:rPr>
          <w:sz w:val="22"/>
          <w:szCs w:val="22"/>
        </w:rPr>
      </w:pPr>
      <w:r>
        <w:rPr>
          <w:sz w:val="22"/>
          <w:szCs w:val="22"/>
        </w:rPr>
      </w:r>
      <w:r>
        <w:br w:type="page"/>
      </w:r>
    </w:p>
    <w:p>
      <w:pPr>
        <w:pStyle w:val="Normal"/>
        <w:spacing w:lineRule="auto" w:line="240"/>
        <w:rPr>
          <w:sz w:val="22"/>
          <w:szCs w:val="22"/>
        </w:rPr>
      </w:pPr>
      <w:r>
        <w:rPr>
          <w:sz w:val="22"/>
          <w:szCs w:val="22"/>
        </w:rPr>
        <w:t xml:space="preserve">                                                                                   </w:t>
      </w:r>
      <w:r>
        <w:rPr>
          <w:sz w:val="22"/>
          <w:szCs w:val="22"/>
        </w:rPr>
        <w:t>Приложение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ПОСТАВКИ ОБОРУДОВАНИЯ И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687"/>
        <w:gridCol w:w="1630"/>
        <w:gridCol w:w="1421"/>
        <w:gridCol w:w="1547"/>
        <w:gridCol w:w="841"/>
        <w:gridCol w:w="1177"/>
        <w:gridCol w:w="774"/>
        <w:gridCol w:w="848"/>
        <w:gridCol w:w="985"/>
      </w:tblGrid>
      <w:tr>
        <w:trPr/>
        <w:tc>
          <w:tcPr>
            <w:tcW w:w="68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3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Наименование этапа </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3"/>
            </w:r>
          </w:p>
        </w:tc>
        <w:tc>
          <w:tcPr>
            <w:tcW w:w="201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4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w:t>
            </w:r>
          </w:p>
          <w:p>
            <w:pPr>
              <w:pStyle w:val="Normal"/>
              <w:widowControl w:val="false"/>
              <w:spacing w:lineRule="auto" w:line="240"/>
              <w:ind w:hanging="0"/>
              <w:jc w:val="center"/>
              <w:rPr>
                <w:sz w:val="20"/>
                <w:szCs w:val="20"/>
              </w:rPr>
            </w:pPr>
            <w:r>
              <w:rPr>
                <w:sz w:val="20"/>
                <w:szCs w:val="20"/>
              </w:rPr>
              <w:t>(__%) руб.*</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68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30"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38"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footerReference w:type="default" r:id="rId5"/>
          <w:footnotePr>
            <w:numFmt w:val="decimal"/>
          </w:footnotePr>
          <w:type w:val="nextPage"/>
          <w:pgSz w:w="11906" w:h="16838"/>
          <w:pgMar w:left="1418" w:right="851" w:gutter="0" w:header="0" w:top="1134" w:footer="284" w:bottom="2268"/>
          <w:pgNumType w:fmt="decimal"/>
          <w:formProt w:val="false"/>
          <w:textDirection w:val="lrTb"/>
          <w:docGrid w:type="default" w:linePitch="381" w:charSpace="0"/>
        </w:sectPr>
      </w:pP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СВОДНЫЙ СМЕТНЫЙ РАСЧЕТ </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13"/>
        <w:rPr>
          <w:sz w:val="24"/>
          <w:szCs w:val="24"/>
        </w:rPr>
      </w:pPr>
      <w:r>
        <w:rPr>
          <w:iCs/>
          <w:sz w:val="24"/>
          <w:szCs w:val="24"/>
        </w:rPr>
        <w:t>ФОРМА</w:t>
      </w:r>
    </w:p>
    <w:p>
      <w:pPr>
        <w:pStyle w:val="13"/>
        <w:rPr>
          <w:i/>
          <w:i/>
          <w:iCs/>
          <w:sz w:val="24"/>
          <w:szCs w:val="24"/>
        </w:rPr>
      </w:pPr>
      <w:r>
        <w:rPr>
          <w:sz w:val="24"/>
          <w:szCs w:val="24"/>
        </w:rPr>
        <w:t>Акта сдачи-приемки места производства Работ и / или</w:t>
      </w:r>
      <w:r>
        <w:rPr>
          <w:sz w:val="24"/>
        </w:rPr>
        <w:t xml:space="preserve"> места (помещения) для складирования материалов и Оборудования</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b w:val="false"/>
                <w:i/>
                <w:i/>
                <w:iCs/>
              </w:rPr>
            </w:pPr>
            <w:r>
              <w:rPr>
                <w:b w:val="false"/>
              </w:rPr>
              <w:t>сдачи-приемки места производства Работ</w:t>
            </w:r>
            <w:r>
              <w:rPr/>
              <w:t xml:space="preserve"> </w:t>
            </w:r>
            <w:r>
              <w:rPr>
                <w:b w:val="false"/>
              </w:rPr>
              <w:t>и / или места (помещения) для складирования материалов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материалов и Оборудования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материалов </w:t>
              <w:br/>
              <w:t>и Оборудования</w:t>
            </w:r>
            <w:r>
              <w:rPr>
                <w:bCs/>
                <w:sz w:val="22"/>
                <w:szCs w:val="22"/>
              </w:rPr>
              <w:t xml:space="preserve"> переданы /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материалов и Оборудования</w:t>
            </w:r>
            <w:r>
              <w:rPr>
                <w:bCs/>
                <w:sz w:val="22"/>
                <w:szCs w:val="22"/>
              </w:rPr>
              <w:t xml:space="preserve">: </w:t>
              <w:br/>
              <w:t>____________________________________________________________________________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pPr>
      <w:r>
        <w:rPr/>
      </w:r>
    </w:p>
    <w:p>
      <w:pPr>
        <w:pStyle w:val="Normal"/>
        <w:spacing w:lineRule="auto" w:line="240"/>
        <w:ind w:left="5103" w:hanging="0"/>
        <w:rPr/>
      </w:pPr>
      <w:r>
        <w:rPr/>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698"/>
        <w:gridCol w:w="1456"/>
        <w:gridCol w:w="1317"/>
        <w:gridCol w:w="1312"/>
        <w:gridCol w:w="1313"/>
        <w:gridCol w:w="1316"/>
        <w:gridCol w:w="1645"/>
      </w:tblGrid>
      <w:tr>
        <w:trPr>
          <w:trHeight w:val="214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3643"/>
        <w:gridCol w:w="5414"/>
      </w:tblGrid>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 xml:space="preserve">требований охраны труда, промышленной безопасности, охраны окружающей среды, </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100 (сто) процентов по отношению </w:t>
              <w:br/>
              <w:t>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pageBreakBefore/>
              <w:widowControl w:val="false"/>
              <w:snapToGrid w:val="false"/>
              <w:spacing w:lineRule="auto" w:line="240"/>
              <w:rPr>
                <w:b/>
                <w:bCs/>
                <w:szCs w:val="24"/>
              </w:rPr>
            </w:pPr>
            <w:r>
              <w:rPr>
                <w:b/>
                <w:bCs/>
                <w:szCs w:val="24"/>
              </w:rPr>
            </w:r>
          </w:p>
        </w:tc>
        <w:tc>
          <w:tcPr>
            <w:tcW w:w="4785" w:type="dxa"/>
            <w:tcBorders/>
          </w:tcPr>
          <w:p>
            <w:pPr>
              <w:pStyle w:val="Normal"/>
              <w:widowControl w:val="false"/>
              <w:shd w:val="clear" w:color="auto" w:fill="FFFFFF"/>
              <w:spacing w:lineRule="auto" w:line="240"/>
              <w:rPr>
                <w:bCs/>
                <w:sz w:val="22"/>
                <w:szCs w:val="22"/>
              </w:rPr>
            </w:pPr>
            <w:r>
              <w:rPr>
                <w:bCs/>
                <w:sz w:val="22"/>
                <w:szCs w:val="22"/>
              </w:rPr>
              <w:t>Приложение № 8</w:t>
            </w:r>
          </w:p>
          <w:p>
            <w:pPr>
              <w:pStyle w:val="Normal"/>
              <w:widowControl w:val="false"/>
              <w:shd w:val="clear" w:color="auto" w:fill="FFFFFF"/>
              <w:spacing w:lineRule="auto" w:line="240"/>
              <w:rPr>
                <w:bCs/>
                <w:sz w:val="22"/>
                <w:szCs w:val="22"/>
              </w:rPr>
            </w:pPr>
            <w:r>
              <w:rPr>
                <w:bCs/>
                <w:sz w:val="22"/>
                <w:szCs w:val="22"/>
              </w:rPr>
              <w:t xml:space="preserve">к Договору подряда </w:t>
            </w:r>
          </w:p>
          <w:p>
            <w:pPr>
              <w:pStyle w:val="Normal"/>
              <w:widowControl w:val="false"/>
              <w:shd w:val="clear" w:color="auto" w:fill="FFFFFF"/>
              <w:spacing w:lineRule="auto" w:line="240"/>
              <w:rPr>
                <w:bCs/>
                <w:sz w:val="22"/>
                <w:szCs w:val="22"/>
              </w:rPr>
            </w:pPr>
            <w:r>
              <w:rPr>
                <w:bCs/>
                <w:sz w:val="22"/>
                <w:szCs w:val="22"/>
              </w:rPr>
              <w:t>от «___» ________20__ г. № ___</w:t>
            </w:r>
          </w:p>
          <w:p>
            <w:pPr>
              <w:pStyle w:val="Normal"/>
              <w:widowControl w:val="false"/>
              <w:snapToGrid w:val="false"/>
              <w:spacing w:lineRule="auto" w:line="240"/>
              <w:rPr>
                <w:b/>
                <w:bCs/>
                <w:szCs w:val="24"/>
              </w:rPr>
            </w:pPr>
            <w:r>
              <w:rPr>
                <w:b/>
                <w:bCs/>
                <w:szCs w:val="24"/>
              </w:rPr>
            </w:r>
          </w:p>
        </w:tc>
      </w:tr>
    </w:tbl>
    <w:p>
      <w:pPr>
        <w:pStyle w:val="Normal"/>
        <w:shd w:val="clear" w:color="auto" w:fill="FFFFFF"/>
        <w:spacing w:lineRule="auto" w:line="240"/>
        <w:jc w:val="center"/>
        <w:rPr>
          <w:b/>
          <w:bCs/>
          <w:szCs w:val="24"/>
        </w:rPr>
      </w:pPr>
      <w:r>
        <w:rPr>
          <w:b/>
          <w:bCs/>
          <w:szCs w:val="24"/>
        </w:rPr>
        <w:t>Акт сдачи-приемки проектных работ</w:t>
      </w:r>
    </w:p>
    <w:p>
      <w:pPr>
        <w:pStyle w:val="Normal"/>
        <w:shd w:val="clear" w:color="auto" w:fill="FFFFFF"/>
        <w:spacing w:lineRule="auto" w:line="240"/>
        <w:jc w:val="center"/>
        <w:rPr>
          <w:b/>
          <w:bCs/>
          <w:szCs w:val="24"/>
        </w:rPr>
      </w:pPr>
      <w:r>
        <w:rPr>
          <w:b/>
          <w:bCs/>
          <w:szCs w:val="24"/>
        </w:rPr>
        <w:t>(форма)</w:t>
      </w:r>
      <w:r>
        <w:rPr>
          <w:rStyle w:val="FootnoteReference"/>
          <w:b/>
          <w:bCs/>
          <w:szCs w:val="24"/>
        </w:rPr>
        <w:footnoteReference w:id="4"/>
      </w:r>
    </w:p>
    <w:p>
      <w:pPr>
        <w:pStyle w:val="Normal"/>
        <w:shd w:val="clear" w:color="auto" w:fill="FFFFFF"/>
        <w:spacing w:lineRule="auto" w:line="240"/>
        <w:jc w:val="center"/>
        <w:rPr>
          <w:b/>
          <w:bCs/>
          <w:szCs w:val="24"/>
        </w:rPr>
      </w:pPr>
      <w:r>
        <w:rPr>
          <w:b/>
          <w:bCs/>
          <w:szCs w:val="24"/>
        </w:rPr>
      </w:r>
    </w:p>
    <w:tbl>
      <w:tblPr>
        <w:tblW w:w="10070" w:type="dxa"/>
        <w:jc w:val="left"/>
        <w:tblInd w:w="-98" w:type="dxa"/>
        <w:tblLayout w:type="fixed"/>
        <w:tblCellMar>
          <w:top w:w="0" w:type="dxa"/>
          <w:left w:w="10" w:type="dxa"/>
          <w:bottom w:w="0" w:type="dxa"/>
          <w:right w:w="10" w:type="dxa"/>
        </w:tblCellMar>
        <w:tblLook w:val="04a0" w:noHBand="0" w:noVBand="1" w:firstColumn="1" w:lastRow="0" w:lastColumn="0" w:firstRow="1"/>
      </w:tblPr>
      <w:tblGrid>
        <w:gridCol w:w="40"/>
        <w:gridCol w:w="10029"/>
      </w:tblGrid>
      <w:tr>
        <w:trPr/>
        <w:tc>
          <w:tcPr>
            <w:tcW w:w="40"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jc w:val="center"/>
              <w:rPr>
                <w:b/>
                <w:bCs/>
                <w:szCs w:val="24"/>
              </w:rPr>
            </w:pPr>
            <w:r>
              <w:rPr>
                <w:b/>
                <w:bCs/>
                <w:szCs w:val="24"/>
              </w:rPr>
            </w:r>
          </w:p>
        </w:tc>
        <w:tc>
          <w:tcPr>
            <w:tcW w:w="10029" w:type="dxa"/>
            <w:tcBorders>
              <w:top w:val="single" w:sz="8" w:space="0" w:color="000000"/>
              <w:left w:val="single" w:sz="8" w:space="0" w:color="000000"/>
              <w:bottom w:val="single" w:sz="8" w:space="0" w:color="000000"/>
              <w:right w:val="single" w:sz="8" w:space="0" w:color="000000"/>
            </w:tcBorders>
            <w:tcMar>
              <w:left w:w="10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СДАЧИ-ПРИЕМКИ ПРОЕКТНЫХ РАБОТ №  _________</w:t>
            </w:r>
          </w:p>
          <w:tbl>
            <w:tblPr>
              <w:tblW w:w="9735"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180"/>
              <w:gridCol w:w="239"/>
              <w:gridCol w:w="2522"/>
              <w:gridCol w:w="1233"/>
              <w:gridCol w:w="219"/>
              <w:gridCol w:w="573"/>
              <w:gridCol w:w="1374"/>
              <w:gridCol w:w="1305"/>
              <w:gridCol w:w="1088"/>
            </w:tblGrid>
            <w:tr>
              <w:trPr>
                <w:trHeight w:val="255" w:hRule="atLeast"/>
              </w:trPr>
              <w:tc>
                <w:tcPr>
                  <w:tcW w:w="9733" w:type="dxa"/>
                  <w:gridSpan w:val="9"/>
                  <w:tcBorders/>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_________20_г.</w:t>
                  </w:r>
                </w:p>
                <w:tbl>
                  <w:tblPr>
                    <w:tblW w:w="9590"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356"/>
                    <w:gridCol w:w="8163"/>
                    <w:gridCol w:w="71"/>
                  </w:tblGrid>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3" w:type="dxa"/>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c>
                      <w:tcPr>
                        <w:tcW w:w="71" w:type="dxa"/>
                        <w:tcBorders/>
                        <w:tcMar>
                          <w:top w:w="0" w:type="dxa"/>
                          <w:left w:w="0" w:type="dxa"/>
                          <w:right w:w="0" w:type="dxa"/>
                        </w:tcMar>
                      </w:tcPr>
                      <w:p>
                        <w:pPr>
                          <w:pStyle w:val="Normal"/>
                          <w:widowControl w:val="false"/>
                          <w:rPr/>
                        </w:pPr>
                        <w:r>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0"/>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9"/>
                  <w:tcBorders/>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393" w:type="dxa"/>
                  <w:gridSpan w:val="5"/>
                  <w:tcBorders/>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340" w:type="dxa"/>
                  <w:gridSpan w:val="4"/>
                  <w:tcBorders/>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118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239" w:type="dxa"/>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522"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792" w:type="dxa"/>
                  <w:gridSpan w:val="6"/>
                  <w:tcBorders>
                    <w:top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1180" w:type="dxa"/>
                  <w:tcBorders/>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239" w:type="dxa"/>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522" w:type="dxa"/>
                  <w:vMerge w:val="continue"/>
                  <w:tcBorders>
                    <w:top w:val="single" w:sz="8" w:space="0" w:color="000000"/>
                    <w:bottom w:val="single" w:sz="8" w:space="0" w:color="000000"/>
                    <w:right w:val="single" w:sz="8" w:space="0" w:color="000000"/>
                  </w:tcBorders>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33"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792" w:type="dxa"/>
                  <w:gridSpan w:val="2"/>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374"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05" w:type="dxa"/>
                  <w:tcBorders>
                    <w:bottom w:val="single" w:sz="8" w:space="0" w:color="000000"/>
                    <w:right w:val="single" w:sz="8" w:space="0" w:color="000000"/>
                  </w:tcBorders>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088" w:type="dxa"/>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1180" w:type="dxa"/>
                  <w:tcBorders/>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23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5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792"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374"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0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08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118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23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5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792"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74"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0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08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18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23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5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792"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74"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0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08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180" w:type="dxa"/>
                  <w:tcBorders/>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239" w:type="dxa"/>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jc w:val="center"/>
                    <w:rPr>
                      <w:sz w:val="20"/>
                      <w:szCs w:val="20"/>
                    </w:rPr>
                  </w:pPr>
                  <w:r>
                    <w:rPr>
                      <w:sz w:val="20"/>
                      <w:szCs w:val="20"/>
                    </w:rPr>
                  </w:r>
                </w:p>
              </w:tc>
              <w:tc>
                <w:tcPr>
                  <w:tcW w:w="2522"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33"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792" w:type="dxa"/>
                  <w:gridSpan w:val="2"/>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74"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0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08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180" w:type="dxa"/>
                  <w:tcBorders/>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2761" w:type="dxa"/>
                  <w:gridSpan w:val="2"/>
                  <w:tcBorders>
                    <w:left w:val="single" w:sz="8" w:space="0" w:color="000000"/>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399" w:type="dxa"/>
                  <w:gridSpan w:val="4"/>
                  <w:tcBorders>
                    <w:bottom w:val="single" w:sz="8" w:space="0" w:color="000000"/>
                    <w:right w:val="single" w:sz="8" w:space="0" w:color="000000"/>
                  </w:tcBorders>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05"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088" w:type="dxa"/>
                  <w:tcBorders>
                    <w:bottom w:val="single" w:sz="8" w:space="0" w:color="000000"/>
                    <w:right w:val="single" w:sz="8" w:space="0" w:color="000000"/>
                  </w:tcBorders>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ind w:hanging="0"/>
              <w:rPr/>
            </w:pPr>
            <w:r>
              <w:rPr>
                <w:sz w:val="16"/>
                <w:szCs w:val="16"/>
              </w:rPr>
              <w:t>* Применимая ставка НДС в отчётных документах определяется на момент определения налоговой базы в соответствии с действующим законодательством Российской Федерации о налогах и сборах.</w:t>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51"/>
              <w:gridCol w:w="4049"/>
              <w:gridCol w:w="707"/>
              <w:gridCol w:w="347"/>
              <w:gridCol w:w="4166"/>
            </w:tblGrid>
            <w:tr>
              <w:trPr>
                <w:cantSplit w:val="true"/>
              </w:trPr>
              <w:tc>
                <w:tcPr>
                  <w:tcW w:w="4500" w:type="dxa"/>
                  <w:gridSpan w:val="2"/>
                  <w:tcBorders/>
                </w:tcPr>
                <w:p>
                  <w:pPr>
                    <w:pStyle w:val="Normal"/>
                    <w:widowControl w:val="false"/>
                    <w:spacing w:lineRule="auto" w:line="240"/>
                    <w:rPr>
                      <w:sz w:val="20"/>
                      <w:szCs w:val="20"/>
                    </w:rPr>
                  </w:pPr>
                  <w:r>
                    <w:rPr>
                      <w:b/>
                      <w:bCs/>
                      <w:sz w:val="20"/>
                      <w:szCs w:val="20"/>
                    </w:rPr>
                    <w:t>От Заказчика:</w:t>
                  </w:r>
                </w:p>
              </w:tc>
              <w:tc>
                <w:tcPr>
                  <w:tcW w:w="707" w:type="dxa"/>
                  <w:vMerge w:val="restart"/>
                  <w:tcBorders/>
                </w:tcPr>
                <w:p>
                  <w:pPr>
                    <w:pStyle w:val="Normal"/>
                    <w:widowControl w:val="false"/>
                    <w:snapToGrid w:val="false"/>
                    <w:spacing w:lineRule="auto" w:line="240"/>
                    <w:rPr>
                      <w:sz w:val="20"/>
                      <w:szCs w:val="20"/>
                    </w:rPr>
                  </w:pPr>
                  <w:r>
                    <w:rPr>
                      <w:sz w:val="20"/>
                      <w:szCs w:val="20"/>
                    </w:rPr>
                  </w:r>
                </w:p>
              </w:tc>
              <w:tc>
                <w:tcPr>
                  <w:tcW w:w="4513" w:type="dxa"/>
                  <w:gridSpan w:val="2"/>
                  <w:tcBorders/>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tcPr>
                <w:p>
                  <w:pPr>
                    <w:pStyle w:val="Normal"/>
                    <w:widowControl w:val="false"/>
                    <w:snapToGrid w:val="false"/>
                    <w:spacing w:lineRule="auto" w:line="240"/>
                    <w:rPr>
                      <w:b/>
                      <w:bCs/>
                      <w:sz w:val="20"/>
                      <w:szCs w:val="20"/>
                    </w:rPr>
                  </w:pPr>
                  <w:r>
                    <w:rPr>
                      <w:b/>
                      <w:bCs/>
                      <w:sz w:val="20"/>
                      <w:szCs w:val="20"/>
                    </w:rPr>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513" w:type="dxa"/>
                  <w:gridSpan w:val="2"/>
                  <w:tcBorders/>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restart"/>
                  <w:tcBorders/>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0"/>
                  </w:tcBorders>
                </w:tcPr>
                <w:p>
                  <w:pPr>
                    <w:pStyle w:val="Normal"/>
                    <w:widowControl w:val="false"/>
                    <w:snapToGrid w:val="false"/>
                    <w:spacing w:lineRule="auto" w:line="240"/>
                    <w:rPr>
                      <w:sz w:val="20"/>
                      <w:szCs w:val="20"/>
                    </w:rPr>
                  </w:pPr>
                  <w:r>
                    <w:rPr>
                      <w:sz w:val="20"/>
                      <w:szCs w:val="20"/>
                    </w:rPr>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0"/>
                  </w:tcBorders>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0"/>
                  </w:tcBorders>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0"/>
                  </w:tcBorders>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cPr>
                <w:p>
                  <w:pPr>
                    <w:pStyle w:val="Normal"/>
                    <w:widowControl w:val="false"/>
                    <w:snapToGrid w:val="false"/>
                    <w:spacing w:lineRule="auto" w:line="240"/>
                    <w:rPr>
                      <w:sz w:val="20"/>
                      <w:szCs w:val="20"/>
                    </w:rPr>
                  </w:pPr>
                  <w:r>
                    <w:rPr>
                      <w:sz w:val="20"/>
                      <w:szCs w:val="20"/>
                    </w:rPr>
                  </w:r>
                </w:p>
              </w:tc>
              <w:tc>
                <w:tcPr>
                  <w:tcW w:w="70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spacing w:lineRule="auto" w:line="240"/>
        <w:ind w:left="5103" w:firstLine="567"/>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5"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sectPr>
          <w:headerReference w:type="default" r:id="rId6"/>
          <w:footerReference w:type="default" r:id="rId7"/>
          <w:footerReference w:type="first" r:id="rId8"/>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P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36"/>
        <w:gridCol w:w="819"/>
        <w:gridCol w:w="236"/>
        <w:gridCol w:w="237"/>
        <w:gridCol w:w="770"/>
        <w:gridCol w:w="516"/>
        <w:gridCol w:w="237"/>
        <w:gridCol w:w="965"/>
        <w:gridCol w:w="1055"/>
        <w:gridCol w:w="237"/>
        <w:gridCol w:w="932"/>
        <w:gridCol w:w="874"/>
        <w:gridCol w:w="236"/>
        <w:gridCol w:w="240"/>
        <w:gridCol w:w="587"/>
        <w:gridCol w:w="753"/>
        <w:gridCol w:w="354"/>
        <w:gridCol w:w="243"/>
        <w:gridCol w:w="1287"/>
        <w:gridCol w:w="271"/>
        <w:gridCol w:w="506"/>
        <w:gridCol w:w="280"/>
        <w:gridCol w:w="486"/>
        <w:gridCol w:w="589"/>
        <w:gridCol w:w="238"/>
        <w:gridCol w:w="235"/>
        <w:gridCol w:w="238"/>
        <w:gridCol w:w="238"/>
        <w:gridCol w:w="1270"/>
        <w:gridCol w:w="236"/>
        <w:gridCol w:w="569"/>
        <w:gridCol w:w="438"/>
        <w:gridCol w:w="229"/>
      </w:tblGrid>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9" w:type="dxa"/>
            <w:gridSpan w:val="5"/>
            <w:tcBorders/>
            <w:shd w:color="auto" w:fill="auto" w:val="clear"/>
            <w:vAlign w:val="bottom"/>
          </w:tcPr>
          <w:p>
            <w:pPr>
              <w:pStyle w:val="Normal"/>
              <w:widowControl w:val="false"/>
              <w:spacing w:lineRule="auto" w:line="240"/>
              <w:ind w:hanging="0"/>
              <w:jc w:val="left"/>
              <w:rPr>
                <w:sz w:val="18"/>
                <w:szCs w:val="18"/>
              </w:rPr>
            </w:pPr>
            <w:r>
              <w:rPr>
                <w:sz w:val="18"/>
                <w:szCs w:val="18"/>
              </w:rPr>
              <w:t>Приложение №9</w:t>
            </w:r>
          </w:p>
        </w:tc>
        <w:tc>
          <w:tcPr>
            <w:tcW w:w="236"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55" w:type="dxa"/>
            <w:gridSpan w:val="6"/>
            <w:tcBorders/>
            <w:shd w:color="auto" w:fill="auto" w:val="clear"/>
            <w:vAlign w:val="bottom"/>
          </w:tcPr>
          <w:p>
            <w:pPr>
              <w:pStyle w:val="Normal"/>
              <w:widowControl w:val="false"/>
              <w:spacing w:lineRule="auto" w:line="240"/>
              <w:ind w:hanging="0"/>
              <w:jc w:val="left"/>
              <w:rPr>
                <w:sz w:val="18"/>
                <w:szCs w:val="18"/>
              </w:rPr>
            </w:pPr>
            <w:r>
              <w:rPr>
                <w:sz w:val="18"/>
                <w:szCs w:val="18"/>
              </w:rPr>
              <w:t>к Договору подряда</w:t>
            </w:r>
          </w:p>
        </w:tc>
        <w:tc>
          <w:tcPr>
            <w:tcW w:w="569"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62" w:type="dxa"/>
            <w:gridSpan w:val="8"/>
            <w:tcBorders/>
            <w:shd w:color="auto" w:fill="auto" w:val="clear"/>
            <w:vAlign w:val="bottom"/>
          </w:tcPr>
          <w:p>
            <w:pPr>
              <w:pStyle w:val="Normal"/>
              <w:widowControl w:val="false"/>
              <w:spacing w:lineRule="auto" w:line="240"/>
              <w:ind w:hanging="0"/>
              <w:jc w:val="left"/>
              <w:rPr>
                <w:sz w:val="18"/>
                <w:szCs w:val="18"/>
              </w:rPr>
            </w:pPr>
            <w:r>
              <w:rPr>
                <w:sz w:val="18"/>
                <w:szCs w:val="18"/>
              </w:rPr>
              <w:t xml:space="preserve"> № </w:t>
            </w:r>
            <w:r>
              <w:rPr>
                <w:sz w:val="18"/>
                <w:szCs w:val="18"/>
              </w:rPr>
              <w:t>_______от "__"_______20___</w:t>
            </w:r>
          </w:p>
        </w:tc>
        <w:tc>
          <w:tcPr>
            <w:tcW w:w="229" w:type="dxa"/>
            <w:tcBorders/>
            <w:shd w:color="auto" w:fill="auto" w:val="clear"/>
            <w:vAlign w:val="bottom"/>
          </w:tcPr>
          <w:p>
            <w:pPr>
              <w:pStyle w:val="Normal"/>
              <w:widowControl w:val="false"/>
              <w:spacing w:lineRule="auto" w:line="240"/>
              <w:ind w:hanging="0"/>
              <w:jc w:val="left"/>
              <w:rPr>
                <w:sz w:val="18"/>
                <w:szCs w:val="18"/>
              </w:rPr>
            </w:pPr>
            <w:r>
              <w:rPr>
                <w:sz w:val="18"/>
                <w:szCs w:val="18"/>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656"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35"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exac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72"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77"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3"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7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6"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5"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06"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38"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6"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2"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06"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3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72" w:type="dxa"/>
            <w:gridSpan w:val="4"/>
            <w:vMerge w:val="continue"/>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6"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5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72"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10"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72"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43"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36"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94"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7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94"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472"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81"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70"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72"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дата </w:t>
            </w:r>
          </w:p>
        </w:tc>
        <w:tc>
          <w:tcPr>
            <w:tcW w:w="1472"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81"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72"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80"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61"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0"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530"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9"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80"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661"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48"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82"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9"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t>АКТ</w:t>
            </w:r>
          </w:p>
        </w:tc>
        <w:tc>
          <w:tcPr>
            <w:tcW w:w="236"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r>
          </w:p>
        </w:tc>
        <w:tc>
          <w:tcPr>
            <w:tcW w:w="1580"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661"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0"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48"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982"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9"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798" w:type="dxa"/>
            <w:gridSpan w:val="11"/>
            <w:tcBorders/>
            <w:shd w:color="auto" w:fill="auto" w:val="clear"/>
            <w:vAlign w:val="bottom"/>
          </w:tcPr>
          <w:p>
            <w:pPr>
              <w:pStyle w:val="Normal"/>
              <w:widowControl w:val="false"/>
              <w:spacing w:lineRule="auto" w:line="240"/>
              <w:ind w:hanging="0"/>
              <w:jc w:val="center"/>
              <w:rPr>
                <w:b/>
                <w:bCs/>
                <w:sz w:val="22"/>
                <w:szCs w:val="22"/>
              </w:rPr>
            </w:pPr>
            <w:r>
              <w:rPr>
                <w:b/>
                <w:bCs/>
                <w:sz w:val="22"/>
                <w:szCs w:val="22"/>
              </w:rPr>
              <w:t>ОСВИДЕТЕЛЬСТВОВАНИЯ ВЫПОЛНЕННЫХ РАБОТ</w:t>
            </w:r>
          </w:p>
        </w:tc>
        <w:tc>
          <w:tcPr>
            <w:tcW w:w="271" w:type="dxa"/>
            <w:tcBorders/>
            <w:shd w:color="auto" w:fill="auto" w:val="clear"/>
            <w:vAlign w:val="bottom"/>
          </w:tcPr>
          <w:p>
            <w:pPr>
              <w:pStyle w:val="Normal"/>
              <w:widowControl w:val="false"/>
              <w:spacing w:lineRule="auto" w:line="240"/>
              <w:ind w:hanging="0"/>
              <w:jc w:val="center"/>
              <w:rPr>
                <w:b/>
                <w:bCs/>
                <w:sz w:val="22"/>
                <w:szCs w:val="22"/>
              </w:rPr>
            </w:pPr>
            <w:r>
              <w:rPr>
                <w:b/>
                <w:bCs/>
                <w:sz w:val="22"/>
                <w:szCs w:val="22"/>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78"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36"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1"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9"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38"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65"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55"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3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8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5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5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87"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0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8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8"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292"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40"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55"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52"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92"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40"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55"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43"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2"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4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55"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61"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7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1"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61"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1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72"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5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1"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61"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1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72"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2"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Заказчика</w:t>
            </w:r>
          </w:p>
        </w:tc>
        <w:tc>
          <w:tcPr>
            <w:tcW w:w="2773"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6"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8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3"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6"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2"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Подрядчика</w:t>
            </w:r>
          </w:p>
        </w:tc>
        <w:tc>
          <w:tcPr>
            <w:tcW w:w="2773"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7"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06"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8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3"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6"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73"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7"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06"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8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1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02"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55"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3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5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5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87"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0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8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5"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7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3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ind w:left="5103" w:firstLine="567"/>
        <w:rPr>
          <w:highlight w:val="yellow"/>
        </w:rPr>
      </w:pPr>
      <w:r>
        <w:rPr>
          <w:highlight w:val="yellow"/>
        </w:rPr>
      </w:r>
      <w:bookmarkStart w:id="43" w:name="RANGE!A1%2525252525252525252525252525252"/>
      <w:bookmarkStart w:id="44" w:name="RANGE!A1%2525252525252525252525252525252"/>
      <w:bookmarkEnd w:id="44"/>
    </w:p>
    <w:tbl>
      <w:tblPr>
        <w:tblW w:w="13433"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646"/>
        <w:gridCol w:w="4786"/>
      </w:tblGrid>
      <w:tr>
        <w:trPr/>
        <w:tc>
          <w:tcPr>
            <w:tcW w:w="8646"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1134" w:right="1134" w:gutter="0" w:header="567" w:top="1418" w:footer="284" w:bottom="851"/>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10</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ind w:hanging="0"/>
        <w:jc w:val="right"/>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Перечень объектов учета капитальных вложений</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pPr w:bottomFromText="0" w:horzAnchor="margin" w:leftFromText="180" w:rightFromText="180" w:tblpX="108" w:tblpY="170" w:topFromText="0" w:vertAnchor="text"/>
        <w:tblW w:w="5000" w:type="pct"/>
        <w:jc w:val="left"/>
        <w:tblInd w:w="-5" w:type="dxa"/>
        <w:tblLayout w:type="fixed"/>
        <w:tblCellMar>
          <w:top w:w="0" w:type="dxa"/>
          <w:left w:w="108" w:type="dxa"/>
          <w:bottom w:w="0" w:type="dxa"/>
          <w:right w:w="108" w:type="dxa"/>
        </w:tblCellMar>
        <w:tblLook w:val="04a0" w:noHBand="0" w:noVBand="1" w:firstColumn="1" w:lastRow="0" w:lastColumn="0" w:firstRow="1"/>
      </w:tblPr>
      <w:tblGrid>
        <w:gridCol w:w="687"/>
        <w:gridCol w:w="4434"/>
        <w:gridCol w:w="4516"/>
      </w:tblGrid>
      <w:tr>
        <w:trPr/>
        <w:tc>
          <w:tcPr>
            <w:tcW w:w="6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 </w:t>
            </w:r>
            <w:r>
              <w:rPr>
                <w:sz w:val="24"/>
                <w:szCs w:val="24"/>
              </w:rPr>
              <w:t>п/п</w:t>
            </w:r>
          </w:p>
        </w:tc>
        <w:tc>
          <w:tcPr>
            <w:tcW w:w="4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Имущество Заказчика </w:t>
            </w:r>
          </w:p>
          <w:p>
            <w:pPr>
              <w:pStyle w:val="Normal"/>
              <w:widowControl w:val="false"/>
              <w:spacing w:lineRule="auto" w:line="240"/>
              <w:ind w:hanging="0"/>
              <w:jc w:val="center"/>
              <w:rPr>
                <w:sz w:val="24"/>
                <w:szCs w:val="24"/>
              </w:rPr>
            </w:pPr>
            <w:r>
              <w:rPr>
                <w:sz w:val="24"/>
                <w:szCs w:val="24"/>
              </w:rPr>
              <w:t>(основные средства) в составе Объекта</w:t>
            </w:r>
          </w:p>
        </w:tc>
      </w:tr>
      <w:tr>
        <w:trPr/>
        <w:tc>
          <w:tcPr>
            <w:tcW w:w="6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1</w:t>
            </w:r>
          </w:p>
        </w:tc>
        <w:tc>
          <w:tcPr>
            <w:tcW w:w="4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2</w:t>
            </w:r>
          </w:p>
        </w:tc>
        <w:tc>
          <w:tcPr>
            <w:tcW w:w="4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3</w:t>
            </w:r>
          </w:p>
        </w:tc>
        <w:tc>
          <w:tcPr>
            <w:tcW w:w="44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lang w:val="en-US"/>
        </w:rPr>
      </w:pPr>
      <w:r>
        <w:rPr>
          <w:sz w:val="22"/>
          <w:szCs w:val="22"/>
        </w:rPr>
        <w:t>Приложение № 1</w:t>
      </w:r>
      <w:r>
        <w:rPr>
          <w:sz w:val="22"/>
          <w:szCs w:val="22"/>
          <w:lang w:val="en-US"/>
        </w:rPr>
        <w:t>1</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ind w:hanging="0"/>
        <w:jc w:val="center"/>
        <w:rPr>
          <w:b/>
          <w:color w:val="000000"/>
          <w:spacing w:val="2"/>
          <w:sz w:val="24"/>
        </w:rPr>
      </w:pPr>
      <w:r>
        <w:rPr>
          <w:b/>
          <w:color w:val="000000"/>
          <w:spacing w:val="2"/>
          <w:sz w:val="24"/>
        </w:rPr>
      </w:r>
    </w:p>
    <w:p>
      <w:pPr>
        <w:pStyle w:val="Normal"/>
        <w:spacing w:lineRule="auto" w:line="240"/>
        <w:ind w:hanging="0"/>
        <w:jc w:val="center"/>
        <w:rPr>
          <w:b/>
          <w:color w:val="000000"/>
          <w:spacing w:val="2"/>
          <w:sz w:val="24"/>
        </w:rPr>
      </w:pPr>
      <w:r>
        <w:rPr>
          <w:b/>
          <w:color w:val="000000"/>
          <w:spacing w:val="2"/>
          <w:sz w:val="24"/>
        </w:rPr>
      </w:r>
    </w:p>
    <w:p>
      <w:pPr>
        <w:pStyle w:val="Normal"/>
        <w:spacing w:lineRule="auto" w:line="240"/>
        <w:ind w:hanging="0"/>
        <w:jc w:val="center"/>
        <w:rPr>
          <w:b/>
          <w:color w:val="000000"/>
          <w:spacing w:val="2"/>
          <w:sz w:val="24"/>
        </w:rPr>
      </w:pPr>
      <w:r>
        <w:rPr>
          <w:b/>
          <w:color w:val="000000"/>
          <w:spacing w:val="2"/>
          <w:sz w:val="24"/>
        </w:rPr>
        <w:t xml:space="preserve">Требования к страховой компании </w:t>
      </w:r>
    </w:p>
    <w:p>
      <w:pPr>
        <w:pStyle w:val="Normal"/>
        <w:spacing w:lineRule="auto" w:line="240"/>
        <w:ind w:hanging="0"/>
        <w:jc w:val="center"/>
        <w:rPr>
          <w:b/>
          <w:color w:val="000000"/>
          <w:spacing w:val="2"/>
          <w:sz w:val="24"/>
        </w:rPr>
      </w:pPr>
      <w:r>
        <w:rPr>
          <w:b/>
          <w:color w:val="000000"/>
          <w:spacing w:val="2"/>
          <w:sz w:val="24"/>
        </w:rPr>
        <w:t>и существенные минимальные условия договора страхования</w:t>
      </w:r>
    </w:p>
    <w:p>
      <w:pPr>
        <w:pStyle w:val="Normal"/>
        <w:spacing w:lineRule="auto" w:line="240"/>
        <w:ind w:hanging="0"/>
        <w:jc w:val="center"/>
        <w:rPr>
          <w:b/>
          <w:color w:val="000000"/>
          <w:spacing w:val="2"/>
        </w:rPr>
      </w:pPr>
      <w:r>
        <w:rPr>
          <w:b/>
          <w:color w:val="000000"/>
          <w:spacing w:val="2"/>
        </w:rPr>
      </w:r>
    </w:p>
    <w:p>
      <w:pPr>
        <w:pStyle w:val="ListParagraph"/>
        <w:shd w:val="clear" w:color="auto" w:fill="FFFFFF"/>
        <w:tabs>
          <w:tab w:val="left" w:pos="709" w:leader="none"/>
        </w:tabs>
        <w:ind w:left="0" w:hanging="0"/>
        <w:jc w:val="both"/>
        <w:rPr>
          <w:b/>
        </w:rPr>
      </w:pPr>
      <w:r>
        <w:rPr>
          <w:b/>
        </w:rPr>
        <w:t>1.</w:t>
        <w:tab/>
        <w:t>Требования к страховой компании:</w:t>
      </w:r>
    </w:p>
    <w:p>
      <w:pPr>
        <w:pStyle w:val="Normal"/>
        <w:numPr>
          <w:ilvl w:val="0"/>
          <w:numId w:val="30"/>
        </w:numPr>
        <w:spacing w:lineRule="auto" w:line="259"/>
        <w:ind w:left="0" w:firstLine="425"/>
        <w:rPr>
          <w:sz w:val="24"/>
          <w:szCs w:val="24"/>
        </w:rPr>
      </w:pPr>
      <w:r>
        <w:rPr>
          <w:sz w:val="24"/>
          <w:szCs w:val="24"/>
        </w:rPr>
        <w:t>Страховщик должен являться членом саморегулируемой организации на базе Всероссийского союза страховщиков (СРО ВСС);</w:t>
      </w:r>
    </w:p>
    <w:p>
      <w:pPr>
        <w:pStyle w:val="Normal"/>
        <w:numPr>
          <w:ilvl w:val="0"/>
          <w:numId w:val="30"/>
        </w:numPr>
        <w:spacing w:lineRule="auto" w:line="259"/>
        <w:ind w:left="0" w:firstLine="425"/>
        <w:rPr>
          <w:sz w:val="24"/>
          <w:szCs w:val="24"/>
        </w:rPr>
      </w:pPr>
      <w:r>
        <w:rPr>
          <w:sz w:val="24"/>
          <w:szCs w:val="24"/>
        </w:rPr>
        <w:t>Страховщик не должен иметь неисполненных в срок предписаний органа страхового надзора;</w:t>
      </w:r>
    </w:p>
    <w:p>
      <w:pPr>
        <w:pStyle w:val="Normal"/>
        <w:numPr>
          <w:ilvl w:val="0"/>
          <w:numId w:val="30"/>
        </w:numPr>
        <w:spacing w:lineRule="auto" w:line="259"/>
        <w:ind w:left="0" w:firstLine="425"/>
        <w:rPr>
          <w:sz w:val="24"/>
          <w:szCs w:val="24"/>
        </w:rPr>
      </w:pPr>
      <w:r>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numPr>
          <w:ilvl w:val="0"/>
          <w:numId w:val="30"/>
        </w:numPr>
        <w:spacing w:lineRule="auto" w:line="259"/>
        <w:ind w:left="0" w:firstLine="425"/>
        <w:rPr>
          <w:sz w:val="24"/>
          <w:szCs w:val="24"/>
        </w:rPr>
      </w:pPr>
      <w:r>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pPr>
        <w:pStyle w:val="ListParagraph"/>
        <w:shd w:val="clear" w:color="auto" w:fill="FFFFFF"/>
        <w:ind w:left="568" w:hanging="0"/>
        <w:jc w:val="both"/>
        <w:rPr/>
      </w:pPr>
      <w:r>
        <w:rPr/>
      </w:r>
    </w:p>
    <w:p>
      <w:pPr>
        <w:pStyle w:val="ListParagraph"/>
        <w:shd w:val="clear" w:color="auto" w:fill="FFFFFF"/>
        <w:tabs>
          <w:tab w:val="left" w:pos="709" w:leader="none"/>
        </w:tabs>
        <w:ind w:left="0" w:hanging="0"/>
        <w:jc w:val="both"/>
        <w:rPr>
          <w:b/>
          <w:sz w:val="28"/>
          <w:szCs w:val="28"/>
        </w:rPr>
      </w:pPr>
      <w:r>
        <w:rPr>
          <w:b/>
        </w:rPr>
        <w:t>2.</w:t>
      </w:r>
      <w:r>
        <w:rPr>
          <w:b/>
          <w:sz w:val="28"/>
          <w:szCs w:val="28"/>
        </w:rPr>
        <w:tab/>
      </w:r>
      <w:r>
        <w:rPr>
          <w:b/>
        </w:rPr>
        <w:t>Существенные минимальные условия договора страхования:</w:t>
      </w:r>
    </w:p>
    <w:p>
      <w:pPr>
        <w:pStyle w:val="ListParagraph"/>
        <w:shd w:val="clear" w:color="auto" w:fill="FFFFFF"/>
        <w:tabs>
          <w:tab w:val="left" w:pos="709" w:leader="none"/>
        </w:tabs>
        <w:ind w:left="0" w:hanging="0"/>
        <w:jc w:val="both"/>
        <w:rPr>
          <w:b/>
        </w:rPr>
      </w:pPr>
      <w:r>
        <w:rPr>
          <w:b/>
        </w:rPr>
        <w:t>2.1.</w:t>
        <w:tab/>
        <w:t>Объект страхования:</w:t>
      </w:r>
    </w:p>
    <w:p>
      <w:pPr>
        <w:pStyle w:val="ListParagraph"/>
        <w:shd w:val="clear" w:color="auto" w:fill="FFFFFF"/>
        <w:ind w:left="0" w:firstLine="708"/>
        <w:jc w:val="both"/>
        <w:rPr/>
      </w:pPr>
      <w:r>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28"/>
        </w:numPr>
        <w:shd w:val="clear" w:color="auto" w:fill="FFFFFF"/>
        <w:ind w:left="1134" w:hanging="425"/>
        <w:jc w:val="both"/>
        <w:rPr/>
      </w:pPr>
      <w:r>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28"/>
        </w:numPr>
        <w:shd w:val="clear" w:color="auto" w:fill="FFFFFF"/>
        <w:ind w:left="1134" w:hanging="425"/>
        <w:jc w:val="both"/>
        <w:rPr/>
      </w:pPr>
      <w:r>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28"/>
        </w:numPr>
        <w:shd w:val="clear" w:color="auto" w:fill="FFFFFF"/>
        <w:ind w:left="1134" w:hanging="425"/>
        <w:jc w:val="both"/>
        <w:rPr/>
      </w:pPr>
      <w:r>
        <w:rP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pPr>
        <w:pStyle w:val="ListParagraph"/>
        <w:shd w:val="clear" w:color="auto" w:fill="FFFFFF"/>
        <w:ind w:left="0" w:hanging="0"/>
        <w:jc w:val="both"/>
        <w:rPr/>
      </w:pPr>
      <w:r>
        <w:rP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ind w:left="0" w:firstLine="709"/>
        <w:jc w:val="both"/>
        <w:rPr/>
      </w:pPr>
      <w:r>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29"/>
        </w:numPr>
        <w:shd w:val="clear" w:color="auto" w:fill="FFFFFF"/>
        <w:tabs>
          <w:tab w:val="clear" w:pos="709"/>
          <w:tab w:val="left" w:pos="284" w:leader="none"/>
          <w:tab w:val="left" w:pos="1134" w:leader="none"/>
        </w:tabs>
        <w:ind w:left="1134" w:hanging="425"/>
        <w:jc w:val="both"/>
        <w:rPr/>
      </w:pPr>
      <w:r>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29"/>
        </w:numPr>
        <w:shd w:val="clear" w:color="auto" w:fill="FFFFFF"/>
        <w:tabs>
          <w:tab w:val="clear" w:pos="709"/>
          <w:tab w:val="left" w:pos="284" w:leader="none"/>
          <w:tab w:val="left" w:pos="1134" w:leader="none"/>
        </w:tabs>
        <w:ind w:left="1134" w:hanging="425"/>
        <w:jc w:val="both"/>
        <w:rPr/>
      </w:pPr>
      <w:r>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29"/>
        </w:numPr>
        <w:shd w:val="clear" w:color="auto" w:fill="FFFFFF"/>
        <w:tabs>
          <w:tab w:val="clear" w:pos="709"/>
          <w:tab w:val="left" w:pos="284" w:leader="none"/>
          <w:tab w:val="left" w:pos="1134" w:leader="none"/>
        </w:tabs>
        <w:ind w:left="1134" w:hanging="425"/>
        <w:jc w:val="both"/>
        <w:rPr/>
      </w:pPr>
      <w:r>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left" w:pos="709" w:leader="none"/>
          <w:tab w:val="left" w:pos="851" w:leader="none"/>
        </w:tabs>
        <w:ind w:left="0" w:hanging="0"/>
        <w:jc w:val="both"/>
        <w:rPr>
          <w:b/>
        </w:rPr>
      </w:pPr>
      <w:r>
        <w:rPr>
          <w:b/>
        </w:rPr>
        <w:t>2.2.</w:t>
        <w:tab/>
        <w:t>Страховые случаи, страховые риски:</w:t>
      </w:r>
    </w:p>
    <w:p>
      <w:pPr>
        <w:pStyle w:val="ListParagraph"/>
        <w:shd w:val="clear" w:color="auto" w:fill="FFFFFF"/>
        <w:tabs>
          <w:tab w:val="clear" w:pos="709"/>
          <w:tab w:val="left" w:pos="1134" w:leader="none"/>
        </w:tabs>
        <w:ind w:left="0" w:firstLine="709"/>
        <w:jc w:val="both"/>
        <w:rPr/>
      </w:pPr>
      <w:r>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ListParagraph"/>
        <w:shd w:val="clear" w:color="auto" w:fill="FFFFFF"/>
        <w:tabs>
          <w:tab w:val="clear" w:pos="709"/>
          <w:tab w:val="left" w:pos="1134" w:leader="none"/>
        </w:tabs>
        <w:ind w:left="0" w:firstLine="709"/>
        <w:jc w:val="both"/>
        <w:rPr/>
      </w:pPr>
      <w:r>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spacing w:lineRule="auto" w:line="240"/>
        <w:ind w:firstLine="709"/>
        <w:rPr>
          <w:sz w:val="24"/>
          <w:szCs w:val="24"/>
        </w:rPr>
      </w:pPr>
      <w:r>
        <w:rPr>
          <w:sz w:val="24"/>
          <w:szCs w:val="24"/>
        </w:rPr>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pPr>
        <w:pStyle w:val="Normal"/>
        <w:spacing w:lineRule="auto" w:line="240"/>
        <w:ind w:firstLine="709"/>
        <w:rPr>
          <w:sz w:val="24"/>
          <w:szCs w:val="24"/>
        </w:rPr>
      </w:pPr>
      <w:r>
        <w:rPr>
          <w:sz w:val="24"/>
          <w:szCs w:val="24"/>
        </w:rPr>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ListParagraph"/>
        <w:shd w:val="clear" w:color="auto" w:fill="FFFFFF"/>
        <w:tabs>
          <w:tab w:val="clear" w:pos="709"/>
          <w:tab w:val="left" w:pos="1134" w:leader="none"/>
        </w:tabs>
        <w:ind w:left="0" w:firstLine="709"/>
        <w:jc w:val="both"/>
        <w:rPr/>
      </w:pPr>
      <w:r>
        <w:rPr/>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pPr>
        <w:pStyle w:val="ListParagraph"/>
        <w:shd w:val="clear" w:color="auto" w:fill="FFFFFF"/>
        <w:tabs>
          <w:tab w:val="clear" w:pos="709"/>
          <w:tab w:val="left" w:pos="1134" w:leader="none"/>
        </w:tabs>
        <w:ind w:left="0" w:firstLine="709"/>
        <w:jc w:val="both"/>
        <w:rPr/>
      </w:pPr>
      <w:r>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clear" w:pos="709"/>
          <w:tab w:val="left" w:pos="1134" w:leader="none"/>
        </w:tabs>
        <w:ind w:left="0" w:firstLine="709"/>
        <w:jc w:val="both"/>
        <w:rPr/>
      </w:pPr>
      <w:r>
        <w:rPr/>
        <w:t>По Секции 3 страхование должно осуществляться на условиях «с ответственностью за все риски», включая риски «террористический акт» и «диверсия».</w:t>
      </w:r>
    </w:p>
    <w:p>
      <w:pPr>
        <w:pStyle w:val="ListParagraph"/>
        <w:shd w:val="clear" w:color="auto" w:fill="FFFFFF"/>
        <w:tabs>
          <w:tab w:val="clear" w:pos="709"/>
          <w:tab w:val="left" w:pos="1134" w:leader="none"/>
        </w:tabs>
        <w:ind w:left="0" w:firstLine="709"/>
        <w:jc w:val="both"/>
        <w:rPr/>
      </w:pPr>
      <w:r>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ListParagraph"/>
        <w:shd w:val="clear" w:color="auto" w:fill="FFFFFF"/>
        <w:tabs>
          <w:tab w:val="clear" w:pos="709"/>
          <w:tab w:val="left" w:pos="1134" w:leader="none"/>
        </w:tabs>
        <w:ind w:left="0" w:firstLine="709"/>
        <w:jc w:val="both"/>
        <w:rPr/>
      </w:pPr>
      <w:r>
        <w:rPr/>
      </w:r>
    </w:p>
    <w:p>
      <w:pPr>
        <w:pStyle w:val="ListParagraph"/>
        <w:shd w:val="clear" w:color="auto" w:fill="FFFFFF"/>
        <w:tabs>
          <w:tab w:val="clear" w:pos="709"/>
          <w:tab w:val="left" w:pos="851" w:leader="none"/>
        </w:tabs>
        <w:ind w:left="851" w:hanging="851"/>
        <w:jc w:val="both"/>
        <w:rPr>
          <w:b/>
        </w:rPr>
      </w:pPr>
      <w:r>
        <w:rPr>
          <w:b/>
        </w:rPr>
        <w:t>2.3.</w:t>
        <w:tab/>
        <w:t>Страховые суммы, лимиты, франшизы, тариф, премия, срок действия, территория страхования:</w:t>
      </w:r>
    </w:p>
    <w:p>
      <w:pPr>
        <w:pStyle w:val="ListParagraph"/>
        <w:shd w:val="clear" w:color="auto" w:fill="FFFFFF"/>
        <w:tabs>
          <w:tab w:val="clear" w:pos="709"/>
          <w:tab w:val="left" w:pos="851" w:leader="none"/>
        </w:tabs>
        <w:ind w:left="0" w:hanging="0"/>
        <w:jc w:val="both"/>
        <w:rPr>
          <w:b/>
        </w:rPr>
      </w:pPr>
      <w:r>
        <w:rPr>
          <w:b/>
        </w:rPr>
        <w:t>2.3.1.</w:t>
        <w:tab/>
        <w:t>Страховая сумма и лимиты по Секции 1:</w:t>
      </w:r>
    </w:p>
    <w:p>
      <w:pPr>
        <w:pStyle w:val="Normal"/>
        <w:spacing w:lineRule="auto" w:line="240"/>
        <w:rPr>
          <w:sz w:val="24"/>
          <w:szCs w:val="24"/>
        </w:rPr>
      </w:pPr>
      <w:r>
        <w:rPr>
          <w:sz w:val="24"/>
          <w:szCs w:val="24"/>
        </w:rPr>
        <w:t xml:space="preserve">2.3.1.1. Страховая сумма по Секции 1 устанавливается в размере </w:t>
      </w:r>
      <w:r>
        <w:rPr>
          <w:b/>
          <w:sz w:val="24"/>
          <w:szCs w:val="24"/>
        </w:rPr>
        <w:t>стоимости (цены) договора подряда (с НДС) и стоимости Оборудования Заказчика</w:t>
      </w:r>
      <w:r>
        <w:rPr>
          <w:sz w:val="24"/>
          <w:szCs w:val="24"/>
        </w:rPr>
        <w:t>.</w:t>
      </w:r>
    </w:p>
    <w:p>
      <w:pPr>
        <w:pStyle w:val="Normal"/>
        <w:spacing w:lineRule="auto" w:line="240"/>
        <w:rPr>
          <w:i/>
          <w:i/>
          <w:sz w:val="24"/>
          <w:szCs w:val="24"/>
        </w:rPr>
      </w:pPr>
      <w:r>
        <w:rPr>
          <w:sz w:val="24"/>
          <w:szCs w:val="24"/>
        </w:rPr>
        <w:t xml:space="preserve">2.3.1.2. Лимит возмещения по каждому и всем страховым </w:t>
      </w:r>
      <w:r>
        <w:rPr>
          <w:i/>
          <w:sz w:val="24"/>
          <w:szCs w:val="24"/>
        </w:rPr>
        <w:t xml:space="preserve">случаям </w:t>
      </w:r>
      <w:r>
        <w:rPr>
          <w:sz w:val="24"/>
          <w:szCs w:val="24"/>
        </w:rPr>
        <w:t>(за исключением рисков «террористический акт» и «диверсия»): не устанавливается.</w:t>
      </w:r>
    </w:p>
    <w:p>
      <w:pPr>
        <w:pStyle w:val="ListParagraph"/>
        <w:shd w:val="clear" w:color="auto" w:fill="FFFFFF"/>
        <w:tabs>
          <w:tab w:val="clear" w:pos="709"/>
          <w:tab w:val="left" w:pos="851" w:leader="none"/>
        </w:tabs>
        <w:ind w:left="0" w:firstLine="709"/>
        <w:jc w:val="both"/>
        <w:rPr/>
      </w:pPr>
      <w:r>
        <w:rPr/>
        <w:t>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pPr>
        <w:pStyle w:val="Normal"/>
        <w:spacing w:lineRule="auto" w:line="240"/>
        <w:rPr>
          <w:sz w:val="24"/>
          <w:szCs w:val="24"/>
        </w:rPr>
      </w:pPr>
      <w:r>
        <w:rPr>
          <w:sz w:val="24"/>
          <w:szCs w:val="24"/>
        </w:rPr>
        <w:t>2.3.1.4. Страховая сумма в отношении покрытия рисков ППГО должна соответствовать страховой сумме по Секции 1.</w:t>
      </w:r>
    </w:p>
    <w:p>
      <w:pPr>
        <w:pStyle w:val="Normal"/>
        <w:spacing w:lineRule="auto" w:line="240"/>
        <w:rPr>
          <w:sz w:val="24"/>
          <w:szCs w:val="24"/>
        </w:rPr>
      </w:pPr>
      <w:r>
        <w:rPr>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tabs>
          <w:tab w:val="clear" w:pos="709"/>
          <w:tab w:val="left" w:pos="851" w:leader="none"/>
        </w:tabs>
        <w:ind w:left="0" w:firstLine="709"/>
        <w:jc w:val="both"/>
        <w:rPr>
          <w:i/>
          <w:i/>
        </w:rPr>
      </w:pPr>
      <w:r>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clear" w:pos="709"/>
          <w:tab w:val="left" w:pos="851" w:leader="none"/>
        </w:tabs>
        <w:ind w:left="0" w:hanging="0"/>
        <w:jc w:val="both"/>
        <w:rPr>
          <w:b/>
        </w:rPr>
      </w:pPr>
      <w:r>
        <w:rPr>
          <w:b/>
        </w:rPr>
        <w:t>2.3.2.</w:t>
        <w:tab/>
        <w:t>Страховая сумма по Секции 2:</w:t>
      </w:r>
    </w:p>
    <w:p>
      <w:pPr>
        <w:pStyle w:val="ListParagraph"/>
        <w:shd w:val="clear" w:color="auto" w:fill="FFFFFF"/>
        <w:tabs>
          <w:tab w:val="clear" w:pos="709"/>
          <w:tab w:val="left" w:pos="1134" w:leader="none"/>
        </w:tabs>
        <w:ind w:left="0" w:hanging="0"/>
        <w:jc w:val="both"/>
        <w:rPr/>
      </w:pPr>
      <w:r>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clear" w:pos="709"/>
          <w:tab w:val="left" w:pos="851" w:leader="none"/>
        </w:tabs>
        <w:ind w:left="0" w:hanging="0"/>
        <w:jc w:val="both"/>
        <w:rPr>
          <w:b/>
        </w:rPr>
      </w:pPr>
      <w:r>
        <w:rPr>
          <w:b/>
        </w:rPr>
        <w:t>2.3.3.</w:t>
        <w:tab/>
        <w:t>Франшиза:</w:t>
      </w:r>
    </w:p>
    <w:p>
      <w:pPr>
        <w:pStyle w:val="Normal"/>
        <w:spacing w:lineRule="auto" w:line="240"/>
        <w:ind w:hanging="0"/>
        <w:rPr>
          <w:rFonts w:ascii="TimesNewRomanPSMT" w:hAnsi="TimesNewRomanPSMT" w:cs="TimesNewRomanPSMT"/>
          <w:color w:val="000000"/>
          <w:sz w:val="24"/>
          <w:szCs w:val="24"/>
        </w:rPr>
      </w:pPr>
      <w:r>
        <w:rPr>
          <w:rFonts w:cs="TimesNewRomanPSMT" w:ascii="TimesNewRomanPSMT" w:hAnsi="TimesNewRomanPSMT"/>
          <w:color w:val="000000"/>
          <w:sz w:val="24"/>
          <w:szCs w:val="24"/>
        </w:rPr>
        <w:t>Безусловная франшиза по Секции 1 устанавливается в размере 1</w:t>
      </w:r>
      <w:r>
        <w:rPr>
          <w:rFonts w:cs="TimesNewRomanPSMT" w:ascii="TimesNewRomanPSMT" w:hAnsi="TimesNewRomanPSMT"/>
          <w:color w:val="000000"/>
          <w:sz w:val="24"/>
          <w:szCs w:val="24"/>
          <w:lang w:val="en-US"/>
        </w:rPr>
        <w:t> </w:t>
      </w:r>
      <w:r>
        <w:rPr>
          <w:rFonts w:cs="TimesNewRomanPSMT" w:ascii="TimesNewRomanPSMT" w:hAnsi="TimesNewRomanPSMT"/>
          <w:color w:val="000000"/>
          <w:sz w:val="24"/>
          <w:szCs w:val="24"/>
        </w:rPr>
        <w:t>250</w:t>
      </w:r>
      <w:r>
        <w:rPr>
          <w:rFonts w:cs="TimesNewRomanPSMT" w:ascii="TimesNewRomanPSMT" w:hAnsi="TimesNewRomanPSMT"/>
          <w:color w:val="000000"/>
          <w:sz w:val="24"/>
          <w:szCs w:val="24"/>
          <w:lang w:val="en-US"/>
        </w:rPr>
        <w:t> </w:t>
      </w:r>
      <w:r>
        <w:rPr>
          <w:rFonts w:cs="TimesNewRomanPSMT" w:ascii="TimesNewRomanPSMT" w:hAnsi="TimesNewRomanPSMT"/>
          <w:color w:val="000000"/>
          <w:sz w:val="24"/>
          <w:szCs w:val="24"/>
        </w:rPr>
        <w:t>000 рублей.</w:t>
      </w:r>
    </w:p>
    <w:p>
      <w:pPr>
        <w:pStyle w:val="Normal"/>
        <w:spacing w:lineRule="auto" w:line="240"/>
        <w:ind w:hanging="0"/>
        <w:rPr>
          <w:rFonts w:ascii="TimesNewRomanPSMT" w:hAnsi="TimesNewRomanPSMT" w:cs="TimesNewRomanPSMT"/>
          <w:color w:val="000000"/>
          <w:sz w:val="24"/>
          <w:szCs w:val="24"/>
        </w:rPr>
      </w:pPr>
      <w:r>
        <w:rPr>
          <w:rFonts w:cs="TimesNewRomanPSMT" w:ascii="TimesNewRomanPSMT" w:hAnsi="TimesNewRomanPSMT"/>
          <w:color w:val="000000"/>
          <w:sz w:val="24"/>
          <w:szCs w:val="24"/>
        </w:rPr>
        <w:t>По Секции 2 франшиза не устанавливается.</w:t>
      </w:r>
    </w:p>
    <w:p>
      <w:pPr>
        <w:pStyle w:val="ListParagraph"/>
        <w:shd w:val="clear" w:color="auto" w:fill="FFFFFF"/>
        <w:tabs>
          <w:tab w:val="clear" w:pos="709"/>
          <w:tab w:val="left" w:pos="851" w:leader="none"/>
        </w:tabs>
        <w:ind w:left="0" w:hanging="0"/>
        <w:jc w:val="both"/>
        <w:rPr>
          <w:b/>
        </w:rPr>
      </w:pPr>
      <w:r>
        <w:rPr>
          <w:b/>
        </w:rPr>
        <w:t>2.3.5.</w:t>
        <w:tab/>
        <w:t>Страховой тариф:</w:t>
      </w:r>
    </w:p>
    <w:p>
      <w:pPr>
        <w:pStyle w:val="ListParagraph"/>
        <w:shd w:val="clear" w:color="auto" w:fill="FFFFFF"/>
        <w:tabs>
          <w:tab w:val="clear" w:pos="709"/>
          <w:tab w:val="left" w:pos="851" w:leader="none"/>
        </w:tabs>
        <w:ind w:left="0" w:hanging="0"/>
        <w:jc w:val="both"/>
        <w:rPr>
          <w:bCs/>
        </w:rPr>
      </w:pPr>
      <w:r>
        <w:rPr>
          <w:bCs/>
        </w:rPr>
        <w:t>Страховой тариф по Секциям 1, 2 устанавливается в размере 0,1%.</w:t>
      </w:r>
    </w:p>
    <w:p>
      <w:pPr>
        <w:pStyle w:val="ListParagraph"/>
        <w:shd w:val="clear" w:color="auto" w:fill="FFFFFF"/>
        <w:tabs>
          <w:tab w:val="clear" w:pos="709"/>
          <w:tab w:val="left" w:pos="851" w:leader="none"/>
        </w:tabs>
        <w:ind w:left="0" w:hanging="0"/>
        <w:jc w:val="both"/>
        <w:rPr>
          <w:b/>
        </w:rPr>
      </w:pPr>
      <w:r>
        <w:rPr>
          <w:b/>
        </w:rPr>
        <w:t>2.3.6.</w:t>
        <w:tab/>
        <w:t>Срок действия договора страхования (период страхования):</w:t>
      </w:r>
    </w:p>
    <w:p>
      <w:pPr>
        <w:pStyle w:val="Normal"/>
        <w:spacing w:lineRule="auto" w:line="240"/>
        <w:ind w:firstLine="709"/>
        <w:rPr>
          <w:rFonts w:ascii="TimesNewRomanPSMT" w:hAnsi="TimesNewRomanPSMT" w:cs="TimesNewRomanPSMT"/>
          <w:color w:val="000000"/>
          <w:sz w:val="24"/>
          <w:szCs w:val="24"/>
        </w:rPr>
      </w:pPr>
      <w:r>
        <w:rPr>
          <w:rFonts w:cs="TimesNewRomanPSMT" w:ascii="TimesNewRomanPSMT" w:hAnsi="TimesNewRomanPSMT"/>
          <w:color w:val="000000"/>
          <w:sz w:val="24"/>
          <w:szCs w:val="24"/>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pPr>
        <w:pStyle w:val="Normal"/>
        <w:spacing w:lineRule="auto" w:line="240"/>
        <w:ind w:firstLine="709"/>
        <w:rPr>
          <w:rFonts w:ascii="TimesNewRomanPSMT" w:hAnsi="TimesNewRomanPSMT" w:cs="TimesNewRomanPSMT"/>
          <w:color w:val="000000"/>
          <w:sz w:val="24"/>
          <w:szCs w:val="24"/>
        </w:rPr>
      </w:pPr>
      <w:r>
        <w:rPr>
          <w:rFonts w:cs="TimesNewRomanPSMT" w:ascii="TimesNewRomanPSMT" w:hAnsi="TimesNewRomanPSMT"/>
          <w:color w:val="000000"/>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spacing w:lineRule="auto" w:line="240"/>
        <w:ind w:firstLine="709"/>
        <w:rPr>
          <w:rFonts w:ascii="TimesNewRomanPSMT" w:hAnsi="TimesNewRomanPSMT" w:cs="TimesNewRomanPSMT"/>
          <w:color w:val="000000"/>
          <w:sz w:val="24"/>
          <w:szCs w:val="24"/>
        </w:rPr>
      </w:pPr>
      <w:r>
        <w:rPr>
          <w:rFonts w:cs="TimesNewRomanPSMT" w:ascii="TimesNewRomanPSMT" w:hAnsi="TimesNewRomanPSMT"/>
          <w:color w:val="000000"/>
          <w:sz w:val="24"/>
          <w:szCs w:val="24"/>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spacing w:lineRule="auto" w:line="240"/>
        <w:ind w:firstLine="709"/>
        <w:rPr>
          <w:rFonts w:ascii="TimesNewRomanPSMT" w:hAnsi="TimesNewRomanPSMT" w:cs="TimesNewRomanPSMT"/>
          <w:color w:val="000000"/>
          <w:sz w:val="24"/>
          <w:szCs w:val="24"/>
        </w:rPr>
      </w:pPr>
      <w:r>
        <w:rPr>
          <w:rFonts w:cs="TimesNewRomanPSMT" w:ascii="TimesNewRomanPSMT" w:hAnsi="TimesNewRomanPSMT"/>
          <w:color w:val="000000"/>
          <w:sz w:val="24"/>
          <w:szCs w:val="24"/>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ListParagraph"/>
        <w:shd w:val="clear" w:color="auto" w:fill="FFFFFF"/>
        <w:tabs>
          <w:tab w:val="clear" w:pos="709"/>
          <w:tab w:val="left" w:pos="851" w:leader="none"/>
        </w:tabs>
        <w:ind w:left="0" w:hanging="0"/>
        <w:jc w:val="both"/>
        <w:rPr>
          <w:b/>
        </w:rPr>
      </w:pPr>
      <w:r>
        <w:rPr>
          <w:b/>
        </w:rPr>
        <w:t>2.3.7.</w:t>
        <w:tab/>
        <w:t>Территория страхования:</w:t>
      </w:r>
    </w:p>
    <w:p>
      <w:pPr>
        <w:pStyle w:val="ListParagraph"/>
        <w:shd w:val="clear" w:color="auto" w:fill="FFFFFF"/>
        <w:ind w:left="0" w:hanging="0"/>
        <w:jc w:val="both"/>
        <w:rPr/>
      </w:pPr>
      <w:r>
        <w:rPr/>
        <w:t>Секция 1 и 2: Место проведения строительных и/или монтажных работ.</w:t>
      </w:r>
    </w:p>
    <w:p>
      <w:pPr>
        <w:pStyle w:val="ListParagraph"/>
        <w:shd w:val="clear" w:color="auto" w:fill="FFFFFF"/>
        <w:tabs>
          <w:tab w:val="clear" w:pos="709"/>
          <w:tab w:val="left" w:pos="851" w:leader="none"/>
        </w:tabs>
        <w:ind w:left="0" w:hanging="0"/>
        <w:jc w:val="both"/>
        <w:rPr>
          <w:b/>
        </w:rPr>
      </w:pPr>
      <w:r>
        <w:rPr>
          <w:b/>
        </w:rPr>
        <w:t>2.3.8.</w:t>
        <w:tab/>
        <w:t>Выгодоприобретатель по Секции 1 договора страхования:</w:t>
      </w:r>
    </w:p>
    <w:p>
      <w:pPr>
        <w:pStyle w:val="ListParagraph"/>
        <w:shd w:val="clear" w:color="auto" w:fill="FFFFFF"/>
        <w:ind w:left="0" w:hanging="0"/>
        <w:jc w:val="both"/>
        <w:rPr/>
      </w:pPr>
      <w:r>
        <w:rPr/>
        <w:t>Страхователь (Подрядчик по договору подряда) и Заказчик по договору подряда.</w:t>
      </w:r>
    </w:p>
    <w:p>
      <w:pPr>
        <w:pStyle w:val="ListParagraph"/>
        <w:shd w:val="clear" w:color="auto" w:fill="FFFFFF"/>
        <w:ind w:left="0" w:hanging="0"/>
        <w:jc w:val="both"/>
        <w:rPr/>
      </w:pPr>
      <w:r>
        <w:rPr/>
      </w:r>
    </w:p>
    <w:p>
      <w:pPr>
        <w:pStyle w:val="ListParagraph"/>
        <w:shd w:val="clear" w:color="auto" w:fill="FFFFFF"/>
        <w:ind w:left="0" w:hanging="0"/>
        <w:jc w:val="both"/>
        <w:rPr/>
      </w:pPr>
      <w:r>
        <w:rPr/>
      </w:r>
    </w:p>
    <w:p>
      <w:pPr>
        <w:pStyle w:val="Normal"/>
        <w:spacing w:lineRule="auto" w:line="240"/>
        <w:ind w:hanging="0"/>
        <w:jc w:val="center"/>
        <w:rPr>
          <w:b/>
          <w:color w:val="000000"/>
          <w:spacing w:val="2"/>
          <w:highlight w:val="yellow"/>
        </w:rPr>
      </w:pPr>
      <w:r>
        <w:rPr>
          <w:b/>
          <w:color w:val="000000"/>
          <w:spacing w:val="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spacing w:lineRule="auto" w:line="240"/>
        <w:ind w:left="8496" w:hanging="0"/>
        <w:jc w:val="left"/>
        <w:rPr>
          <w:bCs/>
          <w:sz w:val="24"/>
          <w:szCs w:val="24"/>
        </w:rPr>
      </w:pPr>
      <w:r>
        <w:rPr>
          <w:bCs/>
          <w:sz w:val="24"/>
          <w:szCs w:val="24"/>
        </w:rPr>
      </w:r>
    </w:p>
    <w:p>
      <w:pPr>
        <w:pStyle w:val="Normal"/>
        <w:tabs>
          <w:tab w:val="clear" w:pos="709"/>
          <w:tab w:val="left" w:pos="6873" w:leader="none"/>
          <w:tab w:val="left" w:pos="6990" w:leader="none"/>
          <w:tab w:val="right" w:pos="9638" w:leader="none"/>
        </w:tabs>
        <w:spacing w:lineRule="auto" w:line="240"/>
        <w:jc w:val="right"/>
        <w:rPr>
          <w:sz w:val="24"/>
          <w:szCs w:val="24"/>
          <w:lang w:val="en-US"/>
        </w:rPr>
      </w:pPr>
      <w:r>
        <w:rPr>
          <w:sz w:val="24"/>
          <w:szCs w:val="24"/>
        </w:rPr>
        <w:t>Приложение №1</w:t>
      </w:r>
      <w:r>
        <w:rPr>
          <w:sz w:val="24"/>
          <w:szCs w:val="24"/>
          <w:lang w:val="en-US"/>
        </w:rPr>
        <w:t>2</w:t>
      </w:r>
    </w:p>
    <w:p>
      <w:pPr>
        <w:pStyle w:val="Normal"/>
        <w:tabs>
          <w:tab w:val="clear" w:pos="709"/>
          <w:tab w:val="left" w:pos="6901" w:leader="none"/>
          <w:tab w:val="right" w:pos="9638" w:leader="none"/>
        </w:tabs>
        <w:spacing w:lineRule="auto" w:line="240"/>
        <w:jc w:val="right"/>
        <w:rPr>
          <w:sz w:val="24"/>
          <w:szCs w:val="24"/>
        </w:rPr>
      </w:pPr>
      <w:r>
        <w:rPr>
          <w:sz w:val="24"/>
          <w:szCs w:val="24"/>
        </w:rPr>
        <w:tab/>
        <w:t xml:space="preserve">к Договору подряда </w:t>
      </w:r>
    </w:p>
    <w:p>
      <w:pPr>
        <w:pStyle w:val="Normal"/>
        <w:tabs>
          <w:tab w:val="clear" w:pos="709"/>
          <w:tab w:val="left" w:pos="6845" w:leader="none"/>
          <w:tab w:val="right" w:pos="9638" w:leader="none"/>
        </w:tabs>
        <w:spacing w:lineRule="auto" w:line="240"/>
        <w:jc w:val="right"/>
        <w:rPr>
          <w:sz w:val="24"/>
          <w:szCs w:val="24"/>
        </w:rPr>
      </w:pPr>
      <w:r>
        <w:rPr>
          <w:sz w:val="24"/>
          <w:szCs w:val="24"/>
        </w:rPr>
        <w:t>от «____» _______20_г. № _____</w:t>
      </w:r>
    </w:p>
    <w:p>
      <w:pPr>
        <w:pStyle w:val="Normal"/>
        <w:spacing w:lineRule="auto" w:line="240"/>
        <w:jc w:val="center"/>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ListParagraph"/>
        <w:numPr>
          <w:ilvl w:val="0"/>
          <w:numId w:val="24"/>
        </w:numPr>
        <w:tabs>
          <w:tab w:val="clear" w:pos="709"/>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45"/>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46"/>
        </w:numPr>
        <w:spacing w:lineRule="auto" w:line="240"/>
        <w:ind w:left="0" w:firstLine="709"/>
        <w:rPr>
          <w:sz w:val="24"/>
          <w:szCs w:val="24"/>
        </w:rPr>
      </w:pPr>
      <w:r>
        <w:rPr>
          <w:sz w:val="24"/>
          <w:szCs w:val="24"/>
        </w:rPr>
        <w:t>Коммунальные ресурсы:</w:t>
      </w:r>
    </w:p>
    <w:p>
      <w:pPr>
        <w:pStyle w:val="Normal"/>
        <w:numPr>
          <w:ilvl w:val="1"/>
          <w:numId w:val="47"/>
        </w:numPr>
        <w:spacing w:lineRule="auto" w:line="240"/>
        <w:ind w:left="0" w:firstLine="709"/>
        <w:rPr>
          <w:sz w:val="24"/>
          <w:szCs w:val="24"/>
        </w:rPr>
      </w:pPr>
      <w:r>
        <w:rPr>
          <w:sz w:val="24"/>
          <w:szCs w:val="24"/>
        </w:rPr>
        <w:t>Электроэнергия.</w:t>
      </w:r>
    </w:p>
    <w:p>
      <w:pPr>
        <w:pStyle w:val="Normal"/>
        <w:numPr>
          <w:ilvl w:val="1"/>
          <w:numId w:val="48"/>
        </w:numPr>
        <w:spacing w:lineRule="auto" w:line="240"/>
        <w:ind w:left="0" w:firstLine="709"/>
        <w:rPr>
          <w:sz w:val="24"/>
          <w:szCs w:val="24"/>
        </w:rPr>
      </w:pPr>
      <w:r>
        <w:rPr>
          <w:sz w:val="24"/>
          <w:szCs w:val="24"/>
        </w:rPr>
        <w:t>Водоснабжение и водоотведение.</w:t>
      </w:r>
    </w:p>
    <w:p>
      <w:pPr>
        <w:pStyle w:val="Normal"/>
        <w:numPr>
          <w:ilvl w:val="1"/>
          <w:numId w:val="49"/>
        </w:numPr>
        <w:spacing w:lineRule="auto" w:line="240"/>
        <w:ind w:left="0" w:firstLine="709"/>
        <w:rPr>
          <w:sz w:val="24"/>
          <w:szCs w:val="24"/>
        </w:rPr>
      </w:pPr>
      <w:r>
        <w:rPr>
          <w:sz w:val="24"/>
          <w:szCs w:val="24"/>
        </w:rPr>
        <w:t>Сжатый воздух.</w:t>
      </w:r>
    </w:p>
    <w:p>
      <w:pPr>
        <w:pStyle w:val="Normal"/>
        <w:numPr>
          <w:ilvl w:val="0"/>
          <w:numId w:val="50"/>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51"/>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52"/>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53"/>
        </w:numPr>
        <w:spacing w:lineRule="auto" w:line="240"/>
        <w:ind w:left="0" w:firstLine="709"/>
        <w:rPr>
          <w:sz w:val="24"/>
          <w:szCs w:val="24"/>
        </w:rPr>
      </w:pPr>
      <w:r>
        <w:rPr>
          <w:sz w:val="24"/>
          <w:szCs w:val="24"/>
        </w:rPr>
        <w:t>Проведение химического анализа масел.</w:t>
      </w:r>
    </w:p>
    <w:p>
      <w:pPr>
        <w:pStyle w:val="Normal"/>
        <w:numPr>
          <w:ilvl w:val="0"/>
          <w:numId w:val="54"/>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55"/>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56"/>
        </w:numPr>
        <w:spacing w:lineRule="auto" w:line="240"/>
        <w:ind w:left="0" w:firstLine="709"/>
        <w:rPr>
          <w:sz w:val="24"/>
          <w:szCs w:val="24"/>
        </w:rPr>
      </w:pPr>
      <w:r>
        <w:rPr>
          <w:sz w:val="24"/>
          <w:szCs w:val="24"/>
        </w:rPr>
        <w:t>Предоставление помещений:</w:t>
      </w:r>
    </w:p>
    <w:p>
      <w:pPr>
        <w:pStyle w:val="Normal"/>
        <w:numPr>
          <w:ilvl w:val="1"/>
          <w:numId w:val="57"/>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58"/>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ListParagraph"/>
        <w:numPr>
          <w:ilvl w:val="0"/>
          <w:numId w:val="24"/>
        </w:numPr>
        <w:tabs>
          <w:tab w:val="clear" w:pos="709"/>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25"/>
        </w:numPr>
        <w:tabs>
          <w:tab w:val="clear" w:pos="709"/>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9"/>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5"/>
        </w:numPr>
        <w:tabs>
          <w:tab w:val="clear" w:pos="709"/>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9"/>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5"/>
        </w:numPr>
        <w:tabs>
          <w:tab w:val="clear" w:pos="709"/>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9"/>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5"/>
        </w:numPr>
        <w:tabs>
          <w:tab w:val="clear" w:pos="709"/>
          <w:tab w:val="left" w:pos="1134" w:leader="none"/>
        </w:tabs>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9"/>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5"/>
        </w:numPr>
        <w:tabs>
          <w:tab w:val="clear" w:pos="709"/>
          <w:tab w:val="left" w:pos="1134" w:leader="none"/>
        </w:tabs>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9"/>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9"/>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5"/>
        </w:numPr>
        <w:tabs>
          <w:tab w:val="clear" w:pos="709"/>
          <w:tab w:val="left" w:pos="1134" w:leader="none"/>
          <w:tab w:val="left" w:pos="1418" w:leader="none"/>
        </w:tabs>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9"/>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5"/>
        </w:numPr>
        <w:tabs>
          <w:tab w:val="clear" w:pos="709"/>
          <w:tab w:val="left" w:pos="1134" w:leader="none"/>
          <w:tab w:val="left" w:pos="1418" w:leader="none"/>
        </w:tabs>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9"/>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5"/>
        </w:numPr>
        <w:tabs>
          <w:tab w:val="clear" w:pos="709"/>
          <w:tab w:val="left" w:pos="1134" w:leader="none"/>
        </w:tabs>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9"/>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9"/>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9"/>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w:t>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Cs/>
                <w:sz w:val="24"/>
                <w:szCs w:val="24"/>
              </w:rPr>
            </w:pPr>
            <w:r>
              <w:rPr>
                <w:bCs/>
                <w:sz w:val="24"/>
                <w:szCs w:val="24"/>
              </w:rPr>
              <w:t xml:space="preserve"> </w:t>
            </w:r>
          </w:p>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r>
          </w:p>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firstLine="4962"/>
        <w:rPr>
          <w:sz w:val="22"/>
          <w:szCs w:val="22"/>
        </w:rPr>
      </w:pPr>
      <w:r>
        <w:rPr>
          <w:sz w:val="22"/>
          <w:szCs w:val="22"/>
        </w:rPr>
        <w:t xml:space="preserve">Приложение № </w:t>
      </w:r>
      <w:r>
        <w:rPr>
          <w:sz w:val="22"/>
          <w:szCs w:val="22"/>
          <w:lang w:val="en-US"/>
        </w:rPr>
        <w:t>13</w:t>
      </w:r>
    </w:p>
    <w:p>
      <w:pPr>
        <w:pStyle w:val="Normal"/>
        <w:spacing w:lineRule="auto" w:line="240"/>
        <w:ind w:firstLine="4962"/>
        <w:rPr>
          <w:sz w:val="22"/>
          <w:szCs w:val="22"/>
        </w:rPr>
      </w:pPr>
      <w:r>
        <w:rPr>
          <w:sz w:val="22"/>
          <w:szCs w:val="22"/>
        </w:rPr>
        <w:t>к Договору подряда</w:t>
      </w:r>
    </w:p>
    <w:p>
      <w:pPr>
        <w:pStyle w:val="Normal"/>
        <w:spacing w:lineRule="auto" w:line="240"/>
        <w:ind w:firstLine="4962"/>
        <w:rPr>
          <w:sz w:val="22"/>
          <w:szCs w:val="22"/>
        </w:rPr>
      </w:pPr>
      <w:r>
        <w:rPr>
          <w:sz w:val="22"/>
          <w:szCs w:val="22"/>
        </w:rPr>
        <w:t>от «____» __________ 20 _ г. № ________</w:t>
      </w:r>
    </w:p>
    <w:p>
      <w:pPr>
        <w:pStyle w:val="Normal"/>
        <w:spacing w:lineRule="auto" w:line="240"/>
        <w:ind w:hanging="0"/>
        <w:rPr>
          <w:b/>
          <w:sz w:val="24"/>
          <w:szCs w:val="24"/>
        </w:rPr>
      </w:pPr>
      <w:r>
        <w:rPr>
          <w:b/>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sz w:val="24"/>
          <w:szCs w:val="24"/>
        </w:rPr>
      </w:pPr>
      <w:r>
        <w:rPr>
          <w:b/>
          <w:sz w:val="24"/>
          <w:szCs w:val="24"/>
        </w:rPr>
        <w:t>Порядок возврата Подрядчиком Заказчику лома и отходов черных и цветных металлов, образовавшихся при производстве работ</w:t>
      </w:r>
    </w:p>
    <w:p>
      <w:pPr>
        <w:pStyle w:val="Normal"/>
        <w:spacing w:lineRule="auto" w:line="240"/>
        <w:ind w:hanging="0"/>
        <w:rPr>
          <w:b/>
          <w:sz w:val="24"/>
          <w:szCs w:val="24"/>
        </w:rPr>
      </w:pPr>
      <w:r>
        <w:rPr>
          <w:b/>
          <w:sz w:val="24"/>
          <w:szCs w:val="24"/>
        </w:rPr>
      </w:r>
    </w:p>
    <w:p>
      <w:pPr>
        <w:pStyle w:val="Normal"/>
        <w:numPr>
          <w:ilvl w:val="0"/>
          <w:numId w:val="26"/>
        </w:numPr>
        <w:spacing w:lineRule="auto" w:line="240"/>
        <w:ind w:left="0" w:firstLine="567"/>
        <w:rPr>
          <w:sz w:val="24"/>
          <w:szCs w:val="24"/>
        </w:rPr>
      </w:pPr>
      <w:r>
        <w:rPr>
          <w:sz w:val="24"/>
          <w:szCs w:val="24"/>
        </w:rPr>
        <w:t>По результатам обследования технического состояния демонтированных материальных ценностей Заказчик направит уведомление, содержащее сведения:</w:t>
      </w:r>
    </w:p>
    <w:p>
      <w:pPr>
        <w:pStyle w:val="Normal"/>
        <w:numPr>
          <w:ilvl w:val="1"/>
          <w:numId w:val="26"/>
        </w:numPr>
        <w:spacing w:lineRule="auto" w:line="240"/>
        <w:ind w:left="0" w:firstLine="567"/>
        <w:rPr>
          <w:sz w:val="24"/>
          <w:szCs w:val="24"/>
        </w:rPr>
      </w:pPr>
      <w:r>
        <w:rPr>
          <w:sz w:val="24"/>
          <w:szCs w:val="24"/>
        </w:rPr>
        <w:t xml:space="preserve"> </w:t>
      </w:r>
      <w:r>
        <w:rPr>
          <w:sz w:val="24"/>
          <w:szCs w:val="24"/>
        </w:rPr>
        <w:t>о материальных ценностях, пригодных для дальнейшего использования, порядке и сроках их передачи Заказчику, в том числе:</w:t>
      </w:r>
    </w:p>
    <w:p>
      <w:pPr>
        <w:pStyle w:val="Normal"/>
        <w:numPr>
          <w:ilvl w:val="0"/>
          <w:numId w:val="27"/>
        </w:numPr>
        <w:spacing w:lineRule="auto" w:line="240"/>
        <w:ind w:left="0" w:firstLine="567"/>
        <w:rPr>
          <w:sz w:val="24"/>
          <w:szCs w:val="24"/>
        </w:rPr>
      </w:pPr>
      <w:r>
        <w:rPr>
          <w:sz w:val="24"/>
          <w:szCs w:val="24"/>
        </w:rPr>
        <w:t>о необходимости разборки/разукрупнения материальных ценностей;</w:t>
      </w:r>
    </w:p>
    <w:p>
      <w:pPr>
        <w:pStyle w:val="Normal"/>
        <w:numPr>
          <w:ilvl w:val="0"/>
          <w:numId w:val="27"/>
        </w:numPr>
        <w:spacing w:lineRule="auto" w:line="240"/>
        <w:ind w:left="0" w:firstLine="567"/>
        <w:rPr>
          <w:sz w:val="24"/>
          <w:szCs w:val="24"/>
        </w:rPr>
      </w:pPr>
      <w:r>
        <w:rPr>
          <w:sz w:val="24"/>
          <w:szCs w:val="24"/>
        </w:rPr>
        <w:t>о сроках передачи и складе/площадке для размещения материальных ценностей;</w:t>
      </w:r>
    </w:p>
    <w:p>
      <w:pPr>
        <w:pStyle w:val="Normal"/>
        <w:numPr>
          <w:ilvl w:val="0"/>
          <w:numId w:val="27"/>
        </w:numPr>
        <w:spacing w:lineRule="auto" w:line="240"/>
        <w:ind w:left="0" w:firstLine="567"/>
        <w:rPr>
          <w:sz w:val="24"/>
          <w:szCs w:val="24"/>
        </w:rPr>
      </w:pPr>
      <w:r>
        <w:rPr>
          <w:sz w:val="24"/>
          <w:szCs w:val="24"/>
        </w:rPr>
        <w:t>о сроках и порядке проведения взвешивания (при необходимости).</w:t>
      </w:r>
    </w:p>
    <w:p>
      <w:pPr>
        <w:pStyle w:val="Normal"/>
        <w:numPr>
          <w:ilvl w:val="1"/>
          <w:numId w:val="26"/>
        </w:numPr>
        <w:spacing w:lineRule="auto" w:line="240"/>
        <w:ind w:left="0" w:firstLine="567"/>
        <w:rPr>
          <w:sz w:val="24"/>
          <w:szCs w:val="24"/>
        </w:rPr>
      </w:pPr>
      <w:r>
        <w:rPr>
          <w:sz w:val="24"/>
          <w:szCs w:val="24"/>
        </w:rPr>
        <w:t xml:space="preserve"> </w:t>
      </w:r>
      <w:r>
        <w:rPr>
          <w:sz w:val="24"/>
          <w:szCs w:val="24"/>
        </w:rPr>
        <w:t>о непригодных для дальнейшего использования материальных ценностях, списываемых в лом и отходы черных и цветных металлов, порядке и сроках их передачи Заказчику, в том числе:</w:t>
      </w:r>
    </w:p>
    <w:p>
      <w:pPr>
        <w:pStyle w:val="Normal"/>
        <w:numPr>
          <w:ilvl w:val="0"/>
          <w:numId w:val="27"/>
        </w:numPr>
        <w:spacing w:lineRule="auto" w:line="240"/>
        <w:ind w:left="0" w:firstLine="567"/>
        <w:rPr>
          <w:sz w:val="24"/>
          <w:szCs w:val="24"/>
        </w:rPr>
      </w:pPr>
      <w:r>
        <w:rPr>
          <w:sz w:val="24"/>
          <w:szCs w:val="24"/>
        </w:rPr>
        <w:t>о необходимости разделки лома металлов, сортировки по видам металлов, видам, группам и категориям металлолома;</w:t>
      </w:r>
    </w:p>
    <w:p>
      <w:pPr>
        <w:pStyle w:val="Normal"/>
        <w:numPr>
          <w:ilvl w:val="0"/>
          <w:numId w:val="27"/>
        </w:numPr>
        <w:spacing w:lineRule="auto" w:line="240"/>
        <w:ind w:left="0" w:firstLine="567"/>
        <w:rPr>
          <w:sz w:val="24"/>
          <w:szCs w:val="24"/>
        </w:rPr>
      </w:pPr>
      <w:r>
        <w:rPr>
          <w:sz w:val="24"/>
          <w:szCs w:val="24"/>
        </w:rPr>
        <w:t xml:space="preserve">о допустимых габаритах отдельных кусков лома, маркировке демонтированных деталей; </w:t>
      </w:r>
    </w:p>
    <w:p>
      <w:pPr>
        <w:pStyle w:val="Normal"/>
        <w:numPr>
          <w:ilvl w:val="0"/>
          <w:numId w:val="27"/>
        </w:numPr>
        <w:spacing w:lineRule="auto" w:line="240"/>
        <w:ind w:left="0" w:firstLine="567"/>
        <w:rPr>
          <w:sz w:val="24"/>
          <w:szCs w:val="24"/>
        </w:rPr>
      </w:pPr>
      <w:r>
        <w:rPr>
          <w:sz w:val="24"/>
          <w:szCs w:val="24"/>
        </w:rPr>
        <w:t>об условиях размещения лома и месте накопления отходов;</w:t>
      </w:r>
    </w:p>
    <w:p>
      <w:pPr>
        <w:pStyle w:val="Normal"/>
        <w:numPr>
          <w:ilvl w:val="0"/>
          <w:numId w:val="27"/>
        </w:numPr>
        <w:spacing w:lineRule="auto" w:line="240"/>
        <w:ind w:left="0" w:firstLine="567"/>
        <w:rPr>
          <w:sz w:val="24"/>
          <w:szCs w:val="24"/>
        </w:rPr>
      </w:pPr>
      <w:r>
        <w:rPr>
          <w:sz w:val="24"/>
          <w:szCs w:val="24"/>
        </w:rPr>
        <w:t>о сроках и условиях размещения лома в месте накопления отходов и взвешивания лома;</w:t>
      </w:r>
    </w:p>
    <w:p>
      <w:pPr>
        <w:pStyle w:val="Normal"/>
        <w:numPr>
          <w:ilvl w:val="0"/>
          <w:numId w:val="27"/>
        </w:numPr>
        <w:spacing w:lineRule="auto" w:line="240"/>
        <w:ind w:left="0" w:firstLine="567"/>
        <w:rPr>
          <w:sz w:val="24"/>
          <w:szCs w:val="24"/>
        </w:rPr>
      </w:pPr>
      <w:r>
        <w:rPr>
          <w:sz w:val="24"/>
          <w:szCs w:val="24"/>
        </w:rPr>
        <w:t>о необходимости определения засоренности и требованиях к порядку и срокам определения засоренности лома цветных металлов;</w:t>
      </w:r>
    </w:p>
    <w:p>
      <w:pPr>
        <w:pStyle w:val="Normal"/>
        <w:numPr>
          <w:ilvl w:val="0"/>
          <w:numId w:val="26"/>
        </w:numPr>
        <w:spacing w:lineRule="auto" w:line="240"/>
        <w:ind w:left="0" w:firstLine="567"/>
        <w:rPr>
          <w:sz w:val="24"/>
          <w:szCs w:val="24"/>
        </w:rPr>
      </w:pPr>
      <w:r>
        <w:rPr>
          <w:sz w:val="24"/>
          <w:szCs w:val="24"/>
        </w:rPr>
        <w:t>Подрядчик должен передать Заказчику в полном объеме лом черных и цветных металлов, образовавшийся в ходе выполнения Работ в порядке и сроки, указанные в обращении Заказчика направленного в соответствии с пунктом 1.2, по акту приема передачи с предварительным взвешиванием лома и определением засоренности лома цветных металлов, в т.ч.:</w:t>
      </w:r>
    </w:p>
    <w:p>
      <w:pPr>
        <w:pStyle w:val="Normal"/>
        <w:numPr>
          <w:ilvl w:val="1"/>
          <w:numId w:val="26"/>
        </w:numPr>
        <w:spacing w:lineRule="auto" w:line="240"/>
        <w:ind w:left="0" w:firstLine="567"/>
        <w:rPr>
          <w:sz w:val="24"/>
          <w:szCs w:val="24"/>
        </w:rPr>
      </w:pPr>
      <w:r>
        <w:rPr>
          <w:sz w:val="24"/>
          <w:szCs w:val="24"/>
        </w:rPr>
        <w:t>Подготовить заявку на сдачу лома, по форме, установленной Заказчиком, определить наименование, вид, группу и общее обозначение лома металлов в соответствии с ГОСТ;</w:t>
      </w:r>
    </w:p>
    <w:p>
      <w:pPr>
        <w:pStyle w:val="Normal"/>
        <w:numPr>
          <w:ilvl w:val="1"/>
          <w:numId w:val="26"/>
        </w:numPr>
        <w:spacing w:lineRule="auto" w:line="240"/>
        <w:ind w:left="0" w:firstLine="567"/>
        <w:rPr>
          <w:sz w:val="24"/>
          <w:szCs w:val="24"/>
        </w:rPr>
      </w:pPr>
      <w:r>
        <w:rPr>
          <w:sz w:val="24"/>
          <w:szCs w:val="24"/>
        </w:rPr>
        <w:t>Выполнить разделку крупногабаритного демонтированного лома металлов;</w:t>
      </w:r>
    </w:p>
    <w:p>
      <w:pPr>
        <w:pStyle w:val="Normal"/>
        <w:numPr>
          <w:ilvl w:val="1"/>
          <w:numId w:val="26"/>
        </w:numPr>
        <w:spacing w:lineRule="auto" w:line="240"/>
        <w:ind w:left="0" w:firstLine="567"/>
        <w:rPr>
          <w:sz w:val="24"/>
          <w:szCs w:val="24"/>
        </w:rPr>
      </w:pPr>
      <w:r>
        <w:rPr>
          <w:sz w:val="24"/>
          <w:szCs w:val="24"/>
        </w:rPr>
        <w:t>Выполнить перемещение лома металлов в место накопления отходов и размещение лома в месте накопления отходов;</w:t>
      </w:r>
    </w:p>
    <w:p>
      <w:pPr>
        <w:pStyle w:val="Normal"/>
        <w:numPr>
          <w:ilvl w:val="1"/>
          <w:numId w:val="26"/>
        </w:numPr>
        <w:spacing w:lineRule="auto" w:line="240"/>
        <w:ind w:left="0" w:firstLine="567"/>
        <w:rPr>
          <w:sz w:val="24"/>
          <w:szCs w:val="24"/>
        </w:rPr>
      </w:pPr>
      <w:r>
        <w:rPr>
          <w:sz w:val="24"/>
          <w:szCs w:val="24"/>
        </w:rPr>
        <w:t>Произвести взвешивание демонтированного лома металлов. При взвешивании крупных узлов/деталей не допускается подмешивание мелких деталей/материалов;</w:t>
      </w:r>
    </w:p>
    <w:p>
      <w:pPr>
        <w:pStyle w:val="Normal"/>
        <w:numPr>
          <w:ilvl w:val="1"/>
          <w:numId w:val="26"/>
        </w:numPr>
        <w:spacing w:lineRule="auto" w:line="240"/>
        <w:ind w:left="0" w:firstLine="567"/>
        <w:rPr>
          <w:sz w:val="24"/>
          <w:szCs w:val="24"/>
        </w:rPr>
      </w:pPr>
      <w:r>
        <w:rPr>
          <w:sz w:val="24"/>
          <w:szCs w:val="24"/>
        </w:rPr>
        <w:t>Выполнить очистку от засора образцов лома цветных металлов для определения засоренности.</w:t>
      </w:r>
    </w:p>
    <w:p>
      <w:pPr>
        <w:pStyle w:val="Normal"/>
        <w:spacing w:lineRule="auto" w:line="240"/>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42"/>
        <w:gridCol w:w="4994"/>
      </w:tblGrid>
      <w:tr>
        <w:trPr/>
        <w:tc>
          <w:tcPr>
            <w:tcW w:w="4642" w:type="dxa"/>
            <w:tcBorders/>
            <w:shd w:color="auto" w:fill="auto" w:val="clear"/>
          </w:tcPr>
          <w:p>
            <w:pPr>
              <w:pStyle w:val="Normal"/>
              <w:widowControl w:val="false"/>
              <w:spacing w:lineRule="auto" w:line="240"/>
              <w:ind w:hanging="0"/>
              <w:rPr>
                <w:bCs/>
                <w:sz w:val="24"/>
                <w:szCs w:val="24"/>
              </w:rPr>
            </w:pPr>
            <w:r>
              <w:rPr>
                <w:bCs/>
                <w:sz w:val="24"/>
                <w:szCs w:val="24"/>
              </w:rPr>
            </w:r>
          </w:p>
          <w:p>
            <w:pPr>
              <w:pStyle w:val="Normal"/>
              <w:widowControl w:val="false"/>
              <w:spacing w:lineRule="auto" w:line="240"/>
              <w:ind w:hanging="0"/>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994" w:type="dxa"/>
            <w:tcBorders/>
            <w:shd w:color="auto" w:fill="auto" w:val="clear"/>
          </w:tcPr>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hanging="0"/>
        <w:rPr>
          <w:sz w:val="24"/>
          <w:szCs w:val="24"/>
        </w:rPr>
      </w:pPr>
      <w:r>
        <w:rPr/>
      </w:r>
    </w:p>
    <w:sectPr>
      <w:headerReference w:type="default" r:id="rId13"/>
      <w:headerReference w:type="first" r:id="rId14"/>
      <w:footerReference w:type="default" r:id="rId15"/>
      <w:footerReference w:type="first" r:id="rId16"/>
      <w:footnotePr>
        <w:numFmt w:val="decimal"/>
      </w:footnotePr>
      <w:type w:val="nextPage"/>
      <w:pgSz w:w="11906" w:h="16838"/>
      <w:pgMar w:left="1418" w:right="851" w:gutter="0" w:header="709" w:top="1134" w:footer="709"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Calibri">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TimesNewRomanPSMT">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15457055"/>
    </w:sdtPr>
    <w:sdtContent>
      <w:p>
        <w:pPr>
          <w:pStyle w:val="Footer"/>
          <w:jc w:val="center"/>
          <w:rPr/>
        </w:pPr>
        <w:r>
          <w:rPr>
            <w:sz w:val="24"/>
            <w:szCs w:val="24"/>
          </w:rPr>
          <w:fldChar w:fldCharType="begin"/>
        </w:r>
        <w:r>
          <w:rPr>
            <w:sz w:val="24"/>
            <w:szCs w:val="24"/>
          </w:rPr>
          <w:instrText xml:space="preserve"> PAGE </w:instrText>
        </w:r>
        <w:r>
          <w:rPr>
            <w:sz w:val="24"/>
            <w:szCs w:val="24"/>
          </w:rPr>
          <w:fldChar w:fldCharType="separate"/>
        </w:r>
        <w:r>
          <w:rPr>
            <w:sz w:val="24"/>
            <w:szCs w:val="24"/>
          </w:rPr>
          <w:t>24</w:t>
        </w:r>
        <w:r>
          <w:rPr>
            <w:sz w:val="24"/>
            <w:szCs w:val="24"/>
          </w:rPr>
          <w:fldChar w:fldCharType="end"/>
        </w:r>
      </w:p>
      <w:p>
        <w:pPr>
          <w:pStyle w:val="Footer"/>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09046220"/>
    </w:sdtPr>
    <w:sdtContent>
      <w:p>
        <w:pPr>
          <w:pStyle w:val="Footer"/>
          <w:jc w:val="center"/>
          <w:rPr/>
        </w:pPr>
        <w:r>
          <w:rPr>
            <w:sz w:val="24"/>
            <w:szCs w:val="24"/>
          </w:rPr>
          <w:fldChar w:fldCharType="begin"/>
        </w:r>
        <w:r>
          <w:rPr>
            <w:sz w:val="24"/>
            <w:szCs w:val="24"/>
          </w:rPr>
          <w:instrText xml:space="preserve"> PAGE </w:instrText>
        </w:r>
        <w:r>
          <w:rPr>
            <w:sz w:val="24"/>
            <w:szCs w:val="24"/>
          </w:rPr>
          <w:fldChar w:fldCharType="separate"/>
        </w:r>
        <w:r>
          <w:rPr>
            <w:sz w:val="24"/>
            <w:szCs w:val="24"/>
          </w:rPr>
          <w:t>36</w:t>
        </w:r>
        <w:r>
          <w:rPr>
            <w:sz w:val="24"/>
            <w:szCs w:val="24"/>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01032736"/>
    </w:sdtPr>
    <w:sdtContent>
      <w:p>
        <w:pPr>
          <w:pStyle w:val="Footer"/>
          <w:jc w:val="center"/>
          <w:rPr/>
        </w:pPr>
        <w:r>
          <w:rPr>
            <w:sz w:val="24"/>
            <w:szCs w:val="24"/>
          </w:rPr>
          <w:fldChar w:fldCharType="begin"/>
        </w:r>
        <w:r>
          <w:rPr>
            <w:sz w:val="24"/>
            <w:szCs w:val="24"/>
          </w:rPr>
          <w:instrText xml:space="preserve"> PAGE </w:instrText>
        </w:r>
        <w:r>
          <w:rPr>
            <w:sz w:val="24"/>
            <w:szCs w:val="24"/>
          </w:rPr>
          <w:fldChar w:fldCharType="separate"/>
        </w:r>
        <w:r>
          <w:rPr>
            <w:sz w:val="24"/>
            <w:szCs w:val="24"/>
          </w:rPr>
          <w:t>43</w:t>
        </w:r>
        <w:r>
          <w:rPr>
            <w:sz w:val="24"/>
            <w:szCs w:val="24"/>
          </w:rPr>
          <w:fldChar w:fldCharType="end"/>
        </w:r>
      </w:p>
    </w:sdtContent>
  </w:sdt>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51</w:t>
    </w:r>
    <w:r>
      <w:rPr>
        <w:sz w:val="24"/>
        <w:szCs w:val="24"/>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С учетом комментариев к пункту 3.3.9 Договора.</w:t>
      </w:r>
    </w:p>
  </w:footnote>
  <w:footnote w:id="3">
    <w:p>
      <w:pPr>
        <w:pStyle w:val="FootnoteText"/>
        <w:rPr/>
      </w:pPr>
      <w:r>
        <w:rPr>
          <w:rStyle w:val="Style6"/>
        </w:rPr>
        <w:footnoteRef/>
      </w:r>
      <w:r>
        <w:rPr/>
        <w:t xml:space="preserve"> </w:t>
      </w:r>
      <w:r>
        <w:rPr/>
        <w:t xml:space="preserve">Наименование Объекта, в отношении которого выполняются Этапы Работ. </w:t>
      </w:r>
    </w:p>
  </w:footnote>
  <w:footnote w:id="4">
    <w:p>
      <w:pPr>
        <w:pStyle w:val="FootnoteText"/>
        <w:rPr/>
      </w:pPr>
      <w:r>
        <w:rPr>
          <w:rStyle w:val="Style6"/>
        </w:rPr>
        <w:footnoteRef/>
      </w:r>
      <w:r>
        <w:rPr/>
        <w:t xml:space="preserve"> </w:t>
      </w:r>
      <w:r>
        <w:rPr/>
        <w:t>Применяется, если не используется УПД.</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rPr>
      <w:t>ТФД №1.1.2</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2" w:hanging="432"/>
      </w:pPr>
      <w:rPr>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lvl w:ilvl="0">
      <w:start w:val="18"/>
      <w:numFmt w:val="decimal"/>
      <w:lvlText w:val="%1."/>
      <w:lvlJc w:val="left"/>
      <w:pPr>
        <w:tabs>
          <w:tab w:val="num" w:pos="0"/>
        </w:tabs>
        <w:ind w:left="600" w:hanging="600"/>
      </w:pPr>
      <w:rPr/>
    </w:lvl>
    <w:lvl w:ilvl="1">
      <w:start w:val="8"/>
      <w:numFmt w:val="decimal"/>
      <w:lvlText w:val="%1.%2."/>
      <w:lvlJc w:val="left"/>
      <w:pPr>
        <w:tabs>
          <w:tab w:val="num" w:pos="0"/>
        </w:tabs>
        <w:ind w:left="862" w:hanging="72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2150" w:hanging="1440"/>
      </w:pPr>
      <w:rPr/>
    </w:lvl>
    <w:lvl w:ilvl="6">
      <w:start w:val="1"/>
      <w:numFmt w:val="decimal"/>
      <w:lvlText w:val="%1.%2.%3.%4.%5.%6.%7."/>
      <w:lvlJc w:val="left"/>
      <w:pPr>
        <w:tabs>
          <w:tab w:val="num" w:pos="0"/>
        </w:tabs>
        <w:ind w:left="2652" w:hanging="1800"/>
      </w:pPr>
      <w:rPr/>
    </w:lvl>
    <w:lvl w:ilvl="7">
      <w:start w:val="1"/>
      <w:numFmt w:val="decimal"/>
      <w:lvlText w:val="%1.%2.%3.%4.%5.%6.%7.%8."/>
      <w:lvlJc w:val="left"/>
      <w:pPr>
        <w:tabs>
          <w:tab w:val="num" w:pos="0"/>
        </w:tabs>
        <w:ind w:left="2794" w:hanging="1800"/>
      </w:pPr>
      <w:rPr/>
    </w:lvl>
    <w:lvl w:ilvl="8">
      <w:start w:val="1"/>
      <w:numFmt w:val="decimal"/>
      <w:lvlText w:val="%1.%2.%3.%4.%5.%6.%7.%8.%9."/>
      <w:lvlJc w:val="left"/>
      <w:pPr>
        <w:tabs>
          <w:tab w:val="num" w:pos="0"/>
        </w:tabs>
        <w:ind w:left="3296" w:hanging="2160"/>
      </w:pPr>
      <w:rPr/>
    </w:lvl>
  </w:abstractNum>
  <w:abstractNum w:abstractNumId="24">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5">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lvl w:ilvl="0">
      <w:start w:val="1"/>
      <w:numFmt w:val="russianLow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31"/>
    <w:lvlOverride w:ilvl="0">
      <w:startOverride w:val="1"/>
    </w:lvlOverride>
  </w:num>
  <w:num w:numId="46">
    <w:abstractNumId w:val="31"/>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bering>
</file>

<file path=word/settings.xml><?xml version="1.0" encoding="utf-8"?>
<w:settings xmlns:w="http://schemas.openxmlformats.org/wordprocessingml/2006/main">
  <w:zoom w:percent="100"/>
  <w:embedSystemFonts/>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uiPriority w:val="99"/>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3"/>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6" w:customStyle="1">
    <w:name w:val="Верхний колонтитул Знак"/>
    <w:basedOn w:val="DefaultParagraphFont"/>
    <w:uiPriority w:val="99"/>
    <w:qFormat/>
    <w:rsid w:val="00e17c82"/>
    <w:rPr>
      <w:sz w:val="28"/>
      <w:szCs w:val="28"/>
    </w:rPr>
  </w:style>
  <w:style w:type="character" w:styleId="Style17" w:customStyle="1">
    <w:name w:val="Текст Знак"/>
    <w:basedOn w:val="DefaultParagraphFont"/>
    <w:link w:val="PlainText"/>
    <w:uiPriority w:val="99"/>
    <w:semiHidden/>
    <w:qFormat/>
    <w:rsid w:val="00d1483f"/>
    <w:rPr>
      <w:rFonts w:ascii="Calibri" w:hAnsi="Calibri" w:eastAsia="Calibri" w:cs="" w:cstheme="minorBidi" w:eastAsiaTheme="minorHAnsi"/>
      <w:sz w:val="22"/>
      <w:szCs w:val="21"/>
      <w:lang w:eastAsia="en-US"/>
    </w:rPr>
  </w:style>
  <w:style w:type="character" w:styleId="Style18" w:customStyle="1">
    <w:name w:val="Абзац списка Знак"/>
    <w:link w:val="ListParagraph"/>
    <w:uiPriority w:val="34"/>
    <w:qFormat/>
    <w:locked/>
    <w:rsid w:val="00141eb2"/>
    <w:rPr>
      <w:sz w:val="24"/>
      <w:szCs w:val="24"/>
    </w:rPr>
  </w:style>
  <w:style w:type="character" w:styleId="Linenumber1" w:customStyle="1">
    <w:name w:val="line number1"/>
    <w:qFormat/>
    <w:rPr/>
  </w:style>
  <w:style w:type="character" w:styleId="Linenumber">
    <w:name w:val="line number"/>
    <w:qFormat/>
    <w:rPr/>
  </w:style>
  <w:style w:type="paragraph" w:styleId="Style19">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1" w:customStyle="1">
    <w:name w:val="Колонтитул"/>
    <w:basedOn w:val="Normal"/>
    <w:qFormat/>
    <w:pPr/>
    <w:rPr/>
  </w:style>
  <w:style w:type="paragraph" w:styleId="Header">
    <w:name w:val="Header"/>
    <w:basedOn w:val="Normal"/>
    <w:link w:val="Style16"/>
    <w:uiPriority w:val="99"/>
    <w:rsid w:val="004b090f"/>
    <w:pPr>
      <w:tabs>
        <w:tab w:val="clear" w:pos="709"/>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2"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3"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4"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5"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6" w:customStyle="1">
    <w:name w:val="Подпункт договора"/>
    <w:basedOn w:val="Normal"/>
    <w:qFormat/>
    <w:rsid w:val="00617a62"/>
    <w:pPr>
      <w:tabs>
        <w:tab w:val="clear" w:pos="709"/>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8"/>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9"/>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9"/>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uiPriority w:val="99"/>
    <w:qFormat/>
    <w:rsid w:val="00f50d64"/>
    <w:pPr/>
    <w:rPr>
      <w:b/>
      <w:bCs/>
    </w:rPr>
  </w:style>
  <w:style w:type="paragraph" w:styleId="Footer">
    <w:name w:val="Footer"/>
    <w:basedOn w:val="Normal"/>
    <w:link w:val="Style10"/>
    <w:uiPriority w:val="99"/>
    <w:rsid w:val="0043217c"/>
    <w:pPr>
      <w:tabs>
        <w:tab w:val="clear" w:pos="709"/>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1"/>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9"/>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111" w:customStyle="1">
    <w:name w:val="caption11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9"/>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paragraph" w:styleId="PlainText">
    <w:name w:val="Plain Text"/>
    <w:basedOn w:val="Normal"/>
    <w:link w:val="Style17"/>
    <w:uiPriority w:val="99"/>
    <w:semiHidden/>
    <w:unhideWhenUsed/>
    <w:qFormat/>
    <w:rsid w:val="00d1483f"/>
    <w:pPr>
      <w:spacing w:lineRule="auto" w:line="240"/>
      <w:ind w:hanging="0"/>
      <w:jc w:val="left"/>
    </w:pPr>
    <w:rPr>
      <w:rFonts w:ascii="Calibri" w:hAnsi="Calibri" w:eastAsia="Calibri" w:cs="" w:cstheme="minorBidi" w:eastAsiaTheme="minorHAnsi"/>
      <w:sz w:val="22"/>
      <w:szCs w:val="21"/>
      <w:lang w:eastAsia="en-US"/>
    </w:rPr>
  </w:style>
  <w:style w:type="paragraph" w:styleId="Style27" w:customStyle="1">
    <w:name w:val="Содержимое таблицы"/>
    <w:basedOn w:val="Normal"/>
    <w:qFormat/>
    <w:pPr>
      <w:widowControl w:val="false"/>
      <w:suppressLineNumbers/>
    </w:pPr>
    <w:rPr/>
  </w:style>
  <w:style w:type="paragraph" w:styleId="Style28" w:customStyle="1">
    <w:name w:val="Заголовок таблицы"/>
    <w:basedOn w:val="Style27"/>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d">
    <w:name w:val="Table Grid"/>
    <w:basedOn w:val="a1"/>
    <w:uiPriority w:val="39"/>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header" Target="header4.xml"/><Relationship Id="rId14" Type="http://schemas.openxmlformats.org/officeDocument/2006/relationships/header" Target="header5.xml"/><Relationship Id="rId15" Type="http://schemas.openxmlformats.org/officeDocument/2006/relationships/footer" Target="footer6.xml"/><Relationship Id="rId16" Type="http://schemas.openxmlformats.org/officeDocument/2006/relationships/footer" Target="footer7.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Relationship Id="rId26"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1F80B-A80F-4564-A2FF-037D4C6CE7A4}">
  <ds:schemaRefs>
    <ds:schemaRef ds:uri="http://schemas.microsoft.com/sharepoint/v3/contenttype/forms"/>
  </ds:schemaRefs>
</ds:datastoreItem>
</file>

<file path=customXml/itemProps2.xml><?xml version="1.0" encoding="utf-8"?>
<ds:datastoreItem xmlns:ds="http://schemas.openxmlformats.org/officeDocument/2006/customXml" ds:itemID="{6D495EDF-DAFC-4B7C-AC58-B597F9D61A61}">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4A96E5E-AE0A-4F9D-BBA4-C214538D7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1B23D2-05F8-4237-B18C-E811631F9B30}">
  <ds:schemaRefs>
    <ds:schemaRef ds:uri="http://schemas.openxmlformats.org/officeDocument/2006/bibliography"/>
  </ds:schemaRefs>
</ds:datastoreItem>
</file>

<file path=customXml/itemProps5.xml><?xml version="1.0" encoding="utf-8"?>
<ds:datastoreItem xmlns:ds="http://schemas.openxmlformats.org/officeDocument/2006/customXml" ds:itemID="{E853EDEA-6F37-479B-BDA7-31151610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Application>AlterOffice/3.4.0.9$Linux_X86_64 LibreOffice_project/b8daf9e823b1a5463a2f48435ddc2e8696e7d4fc</Application>
  <AppVersion>15.0000</AppVersion>
  <Pages>51</Pages>
  <Words>15530</Words>
  <Characters>111990</Characters>
  <CharactersWithSpaces>127259</CharactersWithSpaces>
  <Paragraphs>907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2020-05-31T21:09:00Z</dcterms:created>
  <dc:creator>UK VoHEC</dc:creator>
  <dc:description/>
  <dc:language>ru-RU</dc:language>
  <cp:lastModifiedBy>kotovatp@corp.gidroogk.com</cp:lastModifiedBy>
  <cp:lastPrinted>2017-07-18T10:53:00Z</cp:lastPrinted>
  <dcterms:modified xsi:type="dcterms:W3CDTF">2026-09-07T16:47:48Z</dcterms:modified>
  <cp:revision>245</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